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14" w:type="dxa"/>
        <w:tblInd w:w="-459" w:type="dxa"/>
        <w:tblBorders>
          <w:bottom w:val="single" w:sz="4" w:space="0" w:color="auto"/>
        </w:tblBorders>
        <w:tblLayout w:type="fixed"/>
        <w:tblLook w:val="01E0" w:firstRow="1" w:lastRow="1" w:firstColumn="1" w:lastColumn="1" w:noHBand="0" w:noVBand="0"/>
      </w:tblPr>
      <w:tblGrid>
        <w:gridCol w:w="500"/>
        <w:gridCol w:w="6852"/>
        <w:gridCol w:w="2962"/>
      </w:tblGrid>
      <w:tr w:rsidR="00EA05E5" w:rsidRPr="00EA05E5" w14:paraId="702A81A6" w14:textId="77777777">
        <w:trPr>
          <w:trHeight w:val="282"/>
        </w:trPr>
        <w:tc>
          <w:tcPr>
            <w:tcW w:w="500" w:type="dxa"/>
            <w:vMerge w:val="restart"/>
            <w:tcBorders>
              <w:bottom w:val="nil"/>
            </w:tcBorders>
            <w:textDirection w:val="btLr"/>
          </w:tcPr>
          <w:p w14:paraId="34B32786" w14:textId="77777777" w:rsidR="003E5D1B" w:rsidRPr="00EA05E5" w:rsidRDefault="00E26782">
            <w:pPr>
              <w:tabs>
                <w:tab w:val="clear" w:pos="1134"/>
                <w:tab w:val="left" w:pos="6946"/>
              </w:tabs>
              <w:suppressAutoHyphens/>
              <w:spacing w:after="120" w:line="252" w:lineRule="auto"/>
              <w:ind w:left="175" w:right="113"/>
              <w:jc w:val="right"/>
              <w:rPr>
                <w:color w:val="365F91" w:themeColor="accent1" w:themeShade="BF"/>
                <w:sz w:val="18"/>
                <w:szCs w:val="18"/>
              </w:rPr>
            </w:pPr>
            <w:r w:rsidRPr="00EA05E5">
              <w:rPr>
                <w:color w:val="365F91" w:themeColor="accent1" w:themeShade="BF"/>
                <w:sz w:val="10"/>
                <w:szCs w:val="10"/>
                <w:lang w:eastAsia="zh-CN"/>
              </w:rPr>
              <w:t>TIEMPO</w:t>
            </w:r>
            <w:r w:rsidRPr="00EA05E5">
              <w:rPr>
                <w:sz w:val="18"/>
                <w:szCs w:val="18"/>
                <w:lang w:val="es-ES"/>
              </w:rPr>
              <w:t xml:space="preserve"> </w:t>
            </w:r>
            <w:r w:rsidRPr="00EA05E5">
              <w:rPr>
                <w:color w:val="365F91" w:themeColor="accent1" w:themeShade="BF"/>
                <w:sz w:val="10"/>
                <w:szCs w:val="10"/>
                <w:lang w:eastAsia="zh-CN"/>
              </w:rPr>
              <w:t>CLIMA</w:t>
            </w:r>
            <w:r w:rsidRPr="00EA05E5">
              <w:rPr>
                <w:sz w:val="18"/>
                <w:szCs w:val="18"/>
                <w:lang w:val="es-ES"/>
              </w:rPr>
              <w:t xml:space="preserve"> </w:t>
            </w:r>
            <w:r w:rsidRPr="00EA05E5">
              <w:rPr>
                <w:color w:val="365F91" w:themeColor="accent1" w:themeShade="BF"/>
                <w:sz w:val="10"/>
                <w:szCs w:val="10"/>
                <w:lang w:eastAsia="zh-CN"/>
              </w:rPr>
              <w:t>AGUA</w:t>
            </w:r>
          </w:p>
        </w:tc>
        <w:tc>
          <w:tcPr>
            <w:tcW w:w="6852" w:type="dxa"/>
            <w:vMerge w:val="restart"/>
          </w:tcPr>
          <w:p w14:paraId="58000549" w14:textId="77777777" w:rsidR="003E5D1B" w:rsidRPr="00EA05E5" w:rsidRDefault="00E26782">
            <w:pPr>
              <w:tabs>
                <w:tab w:val="left" w:pos="6946"/>
              </w:tabs>
              <w:suppressAutoHyphens/>
              <w:spacing w:after="120" w:line="252" w:lineRule="auto"/>
              <w:ind w:left="1134"/>
              <w:jc w:val="left"/>
              <w:rPr>
                <w:rFonts w:cs="Tahoma"/>
                <w:b/>
                <w:bCs/>
                <w:color w:val="365F91" w:themeColor="accent1" w:themeShade="BF"/>
                <w:szCs w:val="22"/>
                <w:lang w:val="es-419"/>
              </w:rPr>
            </w:pPr>
            <w:r w:rsidRPr="00EA05E5">
              <w:rPr>
                <w:noProof/>
                <w:color w:val="365F91" w:themeColor="accent1" w:themeShade="BF"/>
                <w:szCs w:val="22"/>
                <w:lang w:val="es-ES" w:eastAsia="zh-CN"/>
              </w:rPr>
              <w:drawing>
                <wp:anchor distT="0" distB="0" distL="114300" distR="114300" simplePos="0" relativeHeight="251646976" behindDoc="1" locked="1" layoutInCell="1" allowOverlap="1" wp14:anchorId="1A5439DC" wp14:editId="2C3C7694">
                  <wp:simplePos x="0" y="0"/>
                  <wp:positionH relativeFrom="page">
                    <wp:posOffset>8255</wp:posOffset>
                  </wp:positionH>
                  <wp:positionV relativeFrom="page">
                    <wp:posOffset>-13970</wp:posOffset>
                  </wp:positionV>
                  <wp:extent cx="613410" cy="673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o_logo_e_black"/>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05E5">
              <w:rPr>
                <w:b/>
                <w:bCs/>
                <w:color w:val="365F91" w:themeColor="accent1" w:themeShade="BF"/>
                <w:lang w:val="es-ES"/>
              </w:rPr>
              <w:t>Organización Meteorológica Mundial</w:t>
            </w:r>
          </w:p>
          <w:p w14:paraId="13D7B7E9" w14:textId="77777777" w:rsidR="003E5D1B" w:rsidRPr="00EA05E5" w:rsidRDefault="00E26782">
            <w:pPr>
              <w:tabs>
                <w:tab w:val="left" w:pos="6946"/>
              </w:tabs>
              <w:suppressAutoHyphens/>
              <w:spacing w:after="120" w:line="252" w:lineRule="auto"/>
              <w:ind w:left="1134"/>
              <w:jc w:val="left"/>
              <w:rPr>
                <w:rFonts w:cs="Tahoma"/>
                <w:b/>
                <w:color w:val="365F91" w:themeColor="accent1" w:themeShade="BF"/>
                <w:spacing w:val="-2"/>
                <w:szCs w:val="22"/>
                <w:lang w:val="es-419"/>
              </w:rPr>
            </w:pPr>
            <w:r w:rsidRPr="00EA05E5">
              <w:rPr>
                <w:b/>
                <w:bCs/>
                <w:color w:val="365F91" w:themeColor="accent1" w:themeShade="BF"/>
                <w:lang w:val="es-ES"/>
              </w:rPr>
              <w:t>CONSEJO EJECUTIVO</w:t>
            </w:r>
          </w:p>
          <w:p w14:paraId="55B718D2" w14:textId="7742446E" w:rsidR="003E5D1B" w:rsidRPr="00EA05E5" w:rsidRDefault="00E26782">
            <w:pPr>
              <w:tabs>
                <w:tab w:val="left" w:pos="6946"/>
              </w:tabs>
              <w:suppressAutoHyphens/>
              <w:spacing w:after="120" w:line="252" w:lineRule="auto"/>
              <w:ind w:left="1134"/>
              <w:jc w:val="left"/>
              <w:rPr>
                <w:rFonts w:cs="Tahoma"/>
                <w:b/>
                <w:bCs/>
                <w:color w:val="365F91" w:themeColor="accent1" w:themeShade="BF"/>
                <w:szCs w:val="22"/>
                <w:lang w:val="es-419"/>
              </w:rPr>
            </w:pPr>
            <w:r w:rsidRPr="00EA05E5">
              <w:rPr>
                <w:b/>
                <w:bCs/>
                <w:color w:val="365F91" w:themeColor="accent1" w:themeShade="BF"/>
                <w:lang w:val="es-ES"/>
              </w:rPr>
              <w:t>Septuagésima sexta reunión</w:t>
            </w:r>
            <w:r w:rsidR="00E11F20">
              <w:rPr>
                <w:b/>
                <w:bCs/>
                <w:color w:val="365F91" w:themeColor="accent1" w:themeShade="BF"/>
                <w:lang w:val="es-ES"/>
              </w:rPr>
              <w:br/>
            </w:r>
            <w:r w:rsidRPr="00EA05E5">
              <w:rPr>
                <w:color w:val="365F91" w:themeColor="accent1" w:themeShade="BF"/>
                <w:lang w:val="es-ES"/>
              </w:rPr>
              <w:t>Ginebra, 27 de febrero al 3 de marzo de 2023</w:t>
            </w:r>
          </w:p>
        </w:tc>
        <w:tc>
          <w:tcPr>
            <w:tcW w:w="2962" w:type="dxa"/>
          </w:tcPr>
          <w:p w14:paraId="6C400C73" w14:textId="7693B614" w:rsidR="003E5D1B" w:rsidRPr="00EA05E5" w:rsidRDefault="005A15CA">
            <w:pPr>
              <w:tabs>
                <w:tab w:val="clear" w:pos="1134"/>
              </w:tabs>
              <w:spacing w:after="60"/>
              <w:ind w:right="-108"/>
              <w:jc w:val="right"/>
              <w:rPr>
                <w:rFonts w:cs="Tahoma"/>
                <w:b/>
                <w:bCs/>
                <w:color w:val="365F91" w:themeColor="accent1" w:themeShade="BF"/>
                <w:szCs w:val="22"/>
              </w:rPr>
            </w:pPr>
            <w:r>
              <w:rPr>
                <w:b/>
                <w:bCs/>
                <w:color w:val="365F91" w:themeColor="accent1" w:themeShade="BF"/>
                <w:lang w:val="es-ES"/>
              </w:rPr>
              <w:t>EC</w:t>
            </w:r>
            <w:r>
              <w:rPr>
                <w:b/>
                <w:bCs/>
                <w:color w:val="365F91" w:themeColor="accent1" w:themeShade="BF"/>
                <w:lang w:val="es-ES"/>
              </w:rPr>
              <w:noBreakHyphen/>
            </w:r>
            <w:r w:rsidRPr="00EA05E5">
              <w:rPr>
                <w:b/>
                <w:bCs/>
                <w:color w:val="365F91" w:themeColor="accent1" w:themeShade="BF"/>
                <w:lang w:val="es-ES"/>
              </w:rPr>
              <w:t>76/Doc. 3.2(12)</w:t>
            </w:r>
          </w:p>
        </w:tc>
      </w:tr>
      <w:tr w:rsidR="00EA05E5" w:rsidRPr="00EA05E5" w14:paraId="3DC11BE0" w14:textId="77777777">
        <w:trPr>
          <w:trHeight w:val="730"/>
        </w:trPr>
        <w:tc>
          <w:tcPr>
            <w:tcW w:w="500" w:type="dxa"/>
            <w:vMerge/>
            <w:tcBorders>
              <w:bottom w:val="nil"/>
            </w:tcBorders>
          </w:tcPr>
          <w:p w14:paraId="29BCB079" w14:textId="77777777" w:rsidR="003E5D1B" w:rsidRDefault="003E5D1B">
            <w:pPr>
              <w:tabs>
                <w:tab w:val="left" w:pos="6946"/>
              </w:tabs>
              <w:suppressAutoHyphens/>
              <w:spacing w:after="120" w:line="252" w:lineRule="auto"/>
              <w:ind w:left="1134"/>
              <w:jc w:val="left"/>
              <w:rPr>
                <w:color w:val="365F91" w:themeColor="accent1" w:themeShade="BF"/>
                <w:szCs w:val="22"/>
                <w:lang w:eastAsia="zh-CN"/>
              </w:rPr>
            </w:pPr>
          </w:p>
        </w:tc>
        <w:tc>
          <w:tcPr>
            <w:tcW w:w="6852" w:type="dxa"/>
            <w:vMerge/>
          </w:tcPr>
          <w:p w14:paraId="46CACC7A" w14:textId="77777777" w:rsidR="003E5D1B" w:rsidRPr="00EA05E5" w:rsidRDefault="003E5D1B">
            <w:pPr>
              <w:tabs>
                <w:tab w:val="left" w:pos="6946"/>
              </w:tabs>
              <w:suppressAutoHyphens/>
              <w:spacing w:after="120" w:line="252" w:lineRule="auto"/>
              <w:ind w:left="1134"/>
              <w:jc w:val="left"/>
              <w:rPr>
                <w:color w:val="365F91" w:themeColor="accent1" w:themeShade="BF"/>
                <w:szCs w:val="22"/>
                <w:lang w:eastAsia="zh-CN"/>
              </w:rPr>
            </w:pPr>
          </w:p>
        </w:tc>
        <w:tc>
          <w:tcPr>
            <w:tcW w:w="2962" w:type="dxa"/>
          </w:tcPr>
          <w:p w14:paraId="6D1338D6" w14:textId="444819AF" w:rsidR="003E5D1B" w:rsidRPr="00EA05E5" w:rsidRDefault="00E26782">
            <w:pPr>
              <w:tabs>
                <w:tab w:val="clear" w:pos="1134"/>
              </w:tabs>
              <w:spacing w:before="120" w:after="60"/>
              <w:ind w:right="-108"/>
              <w:jc w:val="right"/>
              <w:rPr>
                <w:rFonts w:cs="Tahoma"/>
                <w:color w:val="365F91" w:themeColor="accent1" w:themeShade="BF"/>
                <w:szCs w:val="22"/>
                <w:lang w:val="es-419"/>
              </w:rPr>
            </w:pPr>
            <w:r w:rsidRPr="00EA05E5">
              <w:rPr>
                <w:color w:val="365F91" w:themeColor="accent1" w:themeShade="BF"/>
                <w:lang w:val="es-ES"/>
              </w:rPr>
              <w:t xml:space="preserve">Presentado por: </w:t>
            </w:r>
            <w:r w:rsidR="00E11F20">
              <w:rPr>
                <w:color w:val="365F91" w:themeColor="accent1" w:themeShade="BF"/>
                <w:lang w:val="es-ES"/>
              </w:rPr>
              <w:br/>
            </w:r>
            <w:r w:rsidRPr="00EA05E5">
              <w:rPr>
                <w:color w:val="365F91" w:themeColor="accent1" w:themeShade="BF"/>
                <w:lang w:val="es-ES"/>
              </w:rPr>
              <w:t xml:space="preserve">Presidente de la INFCOM </w:t>
            </w:r>
          </w:p>
          <w:p w14:paraId="157865C0" w14:textId="77777777" w:rsidR="003E5D1B" w:rsidRPr="00EA05E5" w:rsidRDefault="00E26782">
            <w:pPr>
              <w:tabs>
                <w:tab w:val="clear" w:pos="1134"/>
              </w:tabs>
              <w:spacing w:before="120" w:after="60"/>
              <w:ind w:right="-108"/>
              <w:jc w:val="right"/>
              <w:rPr>
                <w:rFonts w:cs="Tahoma"/>
                <w:color w:val="365F91" w:themeColor="accent1" w:themeShade="BF"/>
                <w:szCs w:val="22"/>
              </w:rPr>
            </w:pPr>
            <w:r w:rsidRPr="00EA05E5">
              <w:rPr>
                <w:color w:val="365F91" w:themeColor="accent1" w:themeShade="BF"/>
                <w:lang w:val="es-ES"/>
              </w:rPr>
              <w:t>1.XII.2022</w:t>
            </w:r>
          </w:p>
          <w:p w14:paraId="46E441E7" w14:textId="77777777" w:rsidR="003E5D1B" w:rsidRPr="00EA05E5" w:rsidRDefault="00E26782">
            <w:pPr>
              <w:tabs>
                <w:tab w:val="clear" w:pos="1134"/>
              </w:tabs>
              <w:spacing w:before="120" w:after="60"/>
              <w:ind w:right="-108"/>
              <w:jc w:val="right"/>
              <w:rPr>
                <w:rFonts w:cs="Tahoma"/>
                <w:b/>
                <w:bCs/>
                <w:color w:val="365F91" w:themeColor="accent1" w:themeShade="BF"/>
                <w:szCs w:val="22"/>
              </w:rPr>
            </w:pPr>
            <w:r w:rsidRPr="00EA05E5">
              <w:rPr>
                <w:b/>
                <w:bCs/>
                <w:color w:val="365F91" w:themeColor="accent1" w:themeShade="BF"/>
                <w:lang w:val="es-ES"/>
              </w:rPr>
              <w:t>VERSIÓN 1</w:t>
            </w:r>
          </w:p>
        </w:tc>
      </w:tr>
    </w:tbl>
    <w:p w14:paraId="34573BDD" w14:textId="77777777" w:rsidR="003E5D1B" w:rsidRPr="008357EA" w:rsidRDefault="00E26782" w:rsidP="006906B3">
      <w:pPr>
        <w:pStyle w:val="WMOBodyText"/>
        <w:ind w:left="3828" w:hanging="3828"/>
        <w:rPr>
          <w:lang w:val="es-419"/>
        </w:rPr>
      </w:pPr>
      <w:r>
        <w:rPr>
          <w:b/>
          <w:bCs/>
          <w:lang w:val="es-ES"/>
        </w:rPr>
        <w:t>PUNTO 3 DEL ORDEN DEL DÍA:</w:t>
      </w:r>
      <w:r>
        <w:rPr>
          <w:lang w:val="es-ES"/>
        </w:rPr>
        <w:tab/>
      </w:r>
      <w:r>
        <w:rPr>
          <w:b/>
          <w:bCs/>
          <w:lang w:val="es-ES"/>
        </w:rPr>
        <w:t>APLICACIÓN DE LAS DECISIONES DEL CONGRESO: CUESTIONES TÉCNICAS</w:t>
      </w:r>
    </w:p>
    <w:p w14:paraId="11A05ECF" w14:textId="77777777" w:rsidR="003E5D1B" w:rsidRPr="008357EA" w:rsidRDefault="00E26782" w:rsidP="006906B3">
      <w:pPr>
        <w:pStyle w:val="WMOBodyText"/>
        <w:ind w:left="3828" w:hanging="3828"/>
        <w:rPr>
          <w:lang w:val="es-419"/>
        </w:rPr>
      </w:pPr>
      <w:r>
        <w:rPr>
          <w:b/>
          <w:bCs/>
          <w:lang w:val="es-ES"/>
        </w:rPr>
        <w:t>PUNTO 3.2:</w:t>
      </w:r>
      <w:r>
        <w:rPr>
          <w:lang w:val="es-ES"/>
        </w:rPr>
        <w:tab/>
      </w:r>
      <w:r>
        <w:rPr>
          <w:b/>
          <w:bCs/>
          <w:lang w:val="es-ES"/>
        </w:rPr>
        <w:t>Meta a largo plazo 2: observaciones y predicciones del sistema Tierra</w:t>
      </w:r>
    </w:p>
    <w:p w14:paraId="5061F6A7" w14:textId="3E909DBF" w:rsidR="003E5D1B" w:rsidRPr="008357EA" w:rsidRDefault="001F1B29">
      <w:pPr>
        <w:pStyle w:val="Heading1"/>
        <w:rPr>
          <w:lang w:val="es-419"/>
        </w:rPr>
      </w:pPr>
      <w:bookmarkStart w:id="0" w:name="_APPENDIX_A:_"/>
      <w:bookmarkEnd w:id="0"/>
      <w:r>
        <w:rPr>
          <w:lang w:val="es-ES"/>
        </w:rPr>
        <w:t xml:space="preserve">ELABORACIÓN DE UNA NUEVA VERSIÓN DE LA </w:t>
      </w:r>
      <w:r w:rsidRPr="005E4A72">
        <w:rPr>
          <w:i/>
          <w:iCs/>
          <w:lang w:val="es-ES"/>
        </w:rPr>
        <w:t>GUÍA DEL SISTEMA MUNDIAL DE PROCESO DE DATOS</w:t>
      </w:r>
      <w:r>
        <w:rPr>
          <w:lang w:val="es-ES"/>
        </w:rPr>
        <w:t xml:space="preserve"> (</w:t>
      </w:r>
      <w:r w:rsidR="002D6434">
        <w:rPr>
          <w:lang w:val="es-ES"/>
        </w:rPr>
        <w:t>OMM</w:t>
      </w:r>
      <w:r w:rsidR="00EB4587">
        <w:rPr>
          <w:lang w:val="es-ES"/>
        </w:rPr>
        <w:noBreakHyphen/>
      </w:r>
      <w:r w:rsidR="002D6434" w:rsidRPr="002D6434">
        <w:rPr>
          <w:lang w:val="es-ES"/>
        </w:rPr>
        <w:t>Nº</w:t>
      </w:r>
      <w:r w:rsidR="0093047C">
        <w:rPr>
          <w:lang w:val="es-ES"/>
        </w:rPr>
        <w:t> </w:t>
      </w:r>
      <w:r>
        <w:rPr>
          <w:lang w:val="es-ES"/>
        </w:rPr>
        <w:t>305)</w:t>
      </w:r>
    </w:p>
    <w:p w14:paraId="59403B22" w14:textId="77777777" w:rsidR="003E5D1B" w:rsidRPr="008357EA" w:rsidRDefault="003E5D1B">
      <w:pPr>
        <w:pStyle w:val="WMOBodyText"/>
        <w:rPr>
          <w:lang w:val="es-419"/>
        </w:rPr>
      </w:pPr>
    </w:p>
    <w:tbl>
      <w:tblPr>
        <w:tblStyle w:val="TableGrid"/>
        <w:tblW w:w="5000" w:type="pct"/>
        <w:jc w:val="center"/>
        <w:tblBorders>
          <w:insideH w:val="none" w:sz="0" w:space="0" w:color="auto"/>
          <w:insideV w:val="none" w:sz="0" w:space="0" w:color="auto"/>
        </w:tblBorders>
        <w:tblLayout w:type="fixed"/>
        <w:tblLook w:val="04A0" w:firstRow="1" w:lastRow="0" w:firstColumn="1" w:lastColumn="0" w:noHBand="0" w:noVBand="1"/>
      </w:tblPr>
      <w:tblGrid>
        <w:gridCol w:w="9629"/>
      </w:tblGrid>
      <w:tr w:rsidR="003E5D1B" w14:paraId="2208FDDE" w14:textId="77777777">
        <w:trPr>
          <w:jc w:val="center"/>
        </w:trPr>
        <w:tc>
          <w:tcPr>
            <w:tcW w:w="5000" w:type="pct"/>
          </w:tcPr>
          <w:p w14:paraId="102978B9" w14:textId="77777777" w:rsidR="003E5D1B" w:rsidRDefault="00E26782">
            <w:pPr>
              <w:pStyle w:val="WMOBodyText"/>
              <w:spacing w:before="120" w:after="120"/>
              <w:jc w:val="center"/>
              <w:rPr>
                <w:i/>
                <w:iCs/>
              </w:rPr>
            </w:pPr>
            <w:r>
              <w:rPr>
                <w:b/>
                <w:bCs/>
                <w:lang w:val="es-ES"/>
              </w:rPr>
              <w:t>RESUMEN</w:t>
            </w:r>
          </w:p>
        </w:tc>
      </w:tr>
      <w:tr w:rsidR="003E5D1B" w:rsidRPr="00040873" w14:paraId="0E9FD2DB" w14:textId="77777777">
        <w:trPr>
          <w:jc w:val="center"/>
        </w:trPr>
        <w:tc>
          <w:tcPr>
            <w:tcW w:w="5000" w:type="pct"/>
          </w:tcPr>
          <w:p w14:paraId="4DFFEB04" w14:textId="77777777" w:rsidR="003E5D1B" w:rsidRPr="008357EA" w:rsidRDefault="00E26782">
            <w:pPr>
              <w:pStyle w:val="WMOBodyText"/>
              <w:spacing w:before="120" w:after="120"/>
              <w:jc w:val="left"/>
              <w:rPr>
                <w:lang w:val="es-419"/>
              </w:rPr>
            </w:pPr>
            <w:r>
              <w:rPr>
                <w:b/>
                <w:bCs/>
                <w:lang w:val="es-ES"/>
              </w:rPr>
              <w:t xml:space="preserve">Documento presentado por: </w:t>
            </w:r>
            <w:r>
              <w:rPr>
                <w:lang w:val="es-ES"/>
              </w:rPr>
              <w:t>El presidente de la Comisión de Observaciones, Infraestructura y Sistemas de Información (INFCOM).</w:t>
            </w:r>
          </w:p>
          <w:p w14:paraId="6DE7C939" w14:textId="59576CB7" w:rsidR="003E5D1B" w:rsidRPr="008357EA" w:rsidRDefault="00E26782">
            <w:pPr>
              <w:pStyle w:val="WMOBodyText"/>
              <w:spacing w:before="120" w:after="120"/>
              <w:jc w:val="left"/>
              <w:rPr>
                <w:b/>
                <w:bCs/>
                <w:lang w:val="es-419"/>
              </w:rPr>
            </w:pPr>
            <w:r>
              <w:rPr>
                <w:b/>
                <w:bCs/>
                <w:lang w:val="es-ES"/>
              </w:rPr>
              <w:t>Objetivo estratégico para 2020-2023:</w:t>
            </w:r>
            <w:r>
              <w:rPr>
                <w:lang w:val="es-ES"/>
              </w:rPr>
              <w:t xml:space="preserve"> 2.3 Acceso a los productos numéricos de análisis y predicción del sistema Tierra y utilización de </w:t>
            </w:r>
            <w:proofErr w:type="gramStart"/>
            <w:r>
              <w:rPr>
                <w:lang w:val="es-ES"/>
              </w:rPr>
              <w:t>los mismos</w:t>
            </w:r>
            <w:proofErr w:type="gramEnd"/>
            <w:r>
              <w:rPr>
                <w:lang w:val="es-ES"/>
              </w:rPr>
              <w:t xml:space="preserve"> en todas las escalas temporales y espaciales mediante el Sistema Mundial de Proceso de Datos y de Predicción sin Discontinuidad de la Organización Meteorológica Mundial.</w:t>
            </w:r>
          </w:p>
          <w:p w14:paraId="701F8890" w14:textId="677AF911" w:rsidR="003E5D1B" w:rsidRPr="008357EA" w:rsidRDefault="00E26782">
            <w:pPr>
              <w:pStyle w:val="WMOBodyText"/>
              <w:spacing w:before="120" w:after="120"/>
              <w:jc w:val="left"/>
              <w:rPr>
                <w:lang w:val="es-419"/>
              </w:rPr>
            </w:pPr>
            <w:r>
              <w:rPr>
                <w:b/>
                <w:bCs/>
                <w:lang w:val="es-ES"/>
              </w:rPr>
              <w:t>Consecuencias financieras y administrativas:</w:t>
            </w:r>
            <w:r>
              <w:rPr>
                <w:lang w:val="es-ES"/>
              </w:rPr>
              <w:t xml:space="preserve"> Dentro de los parámetros del Plan Estratégico y del Plan de Funcionamiento para 2020</w:t>
            </w:r>
            <w:r w:rsidR="00EB4587">
              <w:rPr>
                <w:lang w:val="es-ES"/>
              </w:rPr>
              <w:noBreakHyphen/>
            </w:r>
            <w:r>
              <w:rPr>
                <w:lang w:val="es-ES"/>
              </w:rPr>
              <w:t>2023, se pondrán de manifiesto en el Plan Estratégico y el Plan de Funcionamiento para 2024</w:t>
            </w:r>
            <w:r w:rsidR="00EB4587">
              <w:rPr>
                <w:lang w:val="es-ES"/>
              </w:rPr>
              <w:softHyphen/>
            </w:r>
            <w:r w:rsidR="00EB4587">
              <w:rPr>
                <w:lang w:val="es-ES"/>
              </w:rPr>
              <w:noBreakHyphen/>
            </w:r>
            <w:r>
              <w:rPr>
                <w:lang w:val="es-ES"/>
              </w:rPr>
              <w:t>2027.</w:t>
            </w:r>
          </w:p>
          <w:p w14:paraId="04C6FC12" w14:textId="77777777" w:rsidR="003E5D1B" w:rsidRPr="008357EA" w:rsidRDefault="00E26782">
            <w:pPr>
              <w:pStyle w:val="WMOBodyText"/>
              <w:spacing w:before="120" w:after="120"/>
              <w:jc w:val="left"/>
              <w:rPr>
                <w:lang w:val="es-419"/>
              </w:rPr>
            </w:pPr>
            <w:r>
              <w:rPr>
                <w:b/>
                <w:bCs/>
                <w:lang w:val="es-ES"/>
              </w:rPr>
              <w:t>Principales encargados de la ejecución:</w:t>
            </w:r>
            <w:r>
              <w:rPr>
                <w:lang w:val="es-ES"/>
              </w:rPr>
              <w:t xml:space="preserve"> La INFCOM, en consulta con la Comisión de Aplicaciones y Servicios Meteorológicos, Climáticos, Hidrológicos y Medioambientales Conexos (SERCOM).</w:t>
            </w:r>
          </w:p>
          <w:p w14:paraId="60C0E679" w14:textId="56A36666" w:rsidR="003E5D1B" w:rsidRPr="008357EA" w:rsidRDefault="00E26782">
            <w:pPr>
              <w:pStyle w:val="WMOBodyText"/>
              <w:spacing w:before="120" w:after="120"/>
              <w:jc w:val="left"/>
              <w:rPr>
                <w:lang w:val="es-419"/>
              </w:rPr>
            </w:pPr>
            <w:r>
              <w:rPr>
                <w:b/>
                <w:bCs/>
                <w:lang w:val="es-ES"/>
              </w:rPr>
              <w:t>Cronograma:</w:t>
            </w:r>
            <w:r>
              <w:rPr>
                <w:lang w:val="es-ES"/>
              </w:rPr>
              <w:t xml:space="preserve"> 2023</w:t>
            </w:r>
            <w:r w:rsidR="00C43F82">
              <w:rPr>
                <w:lang w:val="es-ES"/>
              </w:rPr>
              <w:noBreakHyphen/>
            </w:r>
            <w:r>
              <w:rPr>
                <w:lang w:val="es-ES"/>
              </w:rPr>
              <w:t>2027.</w:t>
            </w:r>
          </w:p>
          <w:p w14:paraId="6356A90A" w14:textId="77777777" w:rsidR="003E5D1B" w:rsidRPr="008357EA" w:rsidRDefault="00E26782">
            <w:pPr>
              <w:pStyle w:val="WMOBodyText"/>
              <w:spacing w:before="120" w:after="120"/>
              <w:jc w:val="left"/>
              <w:rPr>
                <w:lang w:val="es-419"/>
              </w:rPr>
            </w:pPr>
            <w:r>
              <w:rPr>
                <w:b/>
                <w:bCs/>
                <w:lang w:val="es-ES"/>
              </w:rPr>
              <w:t>Medida prevista:</w:t>
            </w:r>
            <w:r>
              <w:rPr>
                <w:lang w:val="es-ES"/>
              </w:rPr>
              <w:t xml:space="preserve"> Examinar el proyecto de resolución propuesto.</w:t>
            </w:r>
          </w:p>
        </w:tc>
      </w:tr>
    </w:tbl>
    <w:p w14:paraId="2468D674" w14:textId="77777777" w:rsidR="003E5D1B" w:rsidRPr="008357EA" w:rsidRDefault="003E5D1B">
      <w:pPr>
        <w:tabs>
          <w:tab w:val="clear" w:pos="1134"/>
        </w:tabs>
        <w:jc w:val="left"/>
        <w:rPr>
          <w:lang w:val="es-419"/>
        </w:rPr>
      </w:pPr>
    </w:p>
    <w:p w14:paraId="64F7F123" w14:textId="77777777" w:rsidR="003E5D1B" w:rsidRPr="008357EA" w:rsidRDefault="00E26782">
      <w:pPr>
        <w:tabs>
          <w:tab w:val="clear" w:pos="1134"/>
        </w:tabs>
        <w:jc w:val="left"/>
        <w:rPr>
          <w:rFonts w:eastAsia="Verdana" w:cs="Verdana"/>
          <w:lang w:val="es-419" w:eastAsia="zh-TW"/>
        </w:rPr>
      </w:pPr>
      <w:r w:rsidRPr="008357EA">
        <w:rPr>
          <w:lang w:val="es-419"/>
        </w:rPr>
        <w:br w:type="page"/>
      </w:r>
    </w:p>
    <w:p w14:paraId="16EAB31E" w14:textId="77777777" w:rsidR="003E5D1B" w:rsidRDefault="00E26782">
      <w:pPr>
        <w:pStyle w:val="Heading1"/>
        <w:spacing w:after="360"/>
      </w:pPr>
      <w:r>
        <w:rPr>
          <w:lang w:val="es-ES"/>
        </w:rPr>
        <w:lastRenderedPageBreak/>
        <w:t>CONSIDERACIONES GENERALES</w:t>
      </w:r>
    </w:p>
    <w:p w14:paraId="44E652DA" w14:textId="63F302F2" w:rsidR="003E5D1B" w:rsidRPr="008357EA" w:rsidRDefault="00E26782">
      <w:pPr>
        <w:numPr>
          <w:ilvl w:val="0"/>
          <w:numId w:val="1"/>
        </w:numPr>
        <w:tabs>
          <w:tab w:val="clear" w:pos="1134"/>
          <w:tab w:val="left" w:pos="851"/>
        </w:tabs>
        <w:spacing w:before="240" w:after="240"/>
        <w:ind w:left="0" w:firstLine="0"/>
        <w:jc w:val="left"/>
        <w:rPr>
          <w:lang w:val="es-419"/>
        </w:rPr>
      </w:pPr>
      <w:r>
        <w:rPr>
          <w:lang w:val="es-ES"/>
        </w:rPr>
        <w:t xml:space="preserve">Cuando el Consejo Ejecutivo aprobó la </w:t>
      </w:r>
      <w:hyperlink r:id="rId12" w:anchor="page=172" w:history="1">
        <w:r w:rsidRPr="002D6434">
          <w:rPr>
            <w:rStyle w:val="Hyperlink"/>
            <w:lang w:val="es-ES"/>
          </w:rPr>
          <w:t>Resolución 18 (</w:t>
        </w:r>
        <w:r w:rsidR="005A15CA">
          <w:rPr>
            <w:rStyle w:val="Hyperlink"/>
            <w:lang w:val="es-ES"/>
          </w:rPr>
          <w:t>EC</w:t>
        </w:r>
        <w:r w:rsidR="005A15CA">
          <w:rPr>
            <w:rStyle w:val="Hyperlink"/>
            <w:lang w:val="es-ES"/>
          </w:rPr>
          <w:noBreakHyphen/>
        </w:r>
        <w:r w:rsidRPr="002D6434">
          <w:rPr>
            <w:rStyle w:val="Hyperlink"/>
            <w:lang w:val="es-ES"/>
          </w:rPr>
          <w:t>69)</w:t>
        </w:r>
      </w:hyperlink>
      <w:r>
        <w:rPr>
          <w:lang w:val="es-ES"/>
        </w:rPr>
        <w:t xml:space="preserve"> - Versión revisada del </w:t>
      </w:r>
      <w:r w:rsidR="002D6434" w:rsidRPr="002D6434">
        <w:rPr>
          <w:i/>
          <w:iCs/>
          <w:lang w:val="es-ES"/>
        </w:rPr>
        <w:t>Manual del Sistema Mundial de Proceso de Datos y de Predicción</w:t>
      </w:r>
      <w:r>
        <w:rPr>
          <w:lang w:val="es-ES"/>
        </w:rPr>
        <w:t xml:space="preserve"> (</w:t>
      </w:r>
      <w:r w:rsidR="002D6434">
        <w:rPr>
          <w:lang w:val="es-ES"/>
        </w:rPr>
        <w:t>OMM-</w:t>
      </w:r>
      <w:r w:rsidR="002D6434" w:rsidRPr="002D6434">
        <w:rPr>
          <w:lang w:val="es-ES"/>
        </w:rPr>
        <w:t>Nº</w:t>
      </w:r>
      <w:r w:rsidR="0093047C">
        <w:rPr>
          <w:lang w:val="es-ES"/>
        </w:rPr>
        <w:t> </w:t>
      </w:r>
      <w:r>
        <w:rPr>
          <w:lang w:val="es-ES"/>
        </w:rPr>
        <w:t xml:space="preserve">485), pidió que se revisara la </w:t>
      </w:r>
      <w:hyperlink r:id="rId13" w:history="1">
        <w:r w:rsidR="002D6434" w:rsidRPr="00FF76FF">
          <w:rPr>
            <w:rStyle w:val="Hyperlink"/>
            <w:i/>
            <w:iCs/>
            <w:lang w:val="es-ES"/>
          </w:rPr>
          <w:t>Guía del Sistema Mundial de Proceso de Datos</w:t>
        </w:r>
      </w:hyperlink>
      <w:r>
        <w:rPr>
          <w:lang w:val="es-ES"/>
        </w:rPr>
        <w:t xml:space="preserve"> (</w:t>
      </w:r>
      <w:r w:rsidR="00EB4587">
        <w:rPr>
          <w:lang w:val="es-ES"/>
        </w:rPr>
        <w:t>OMM</w:t>
      </w:r>
      <w:r w:rsidR="00EB4587">
        <w:rPr>
          <w:lang w:val="es-ES"/>
        </w:rPr>
        <w:noBreakHyphen/>
        <w:t>Nº</w:t>
      </w:r>
      <w:r w:rsidR="0093047C">
        <w:rPr>
          <w:lang w:val="es-ES"/>
        </w:rPr>
        <w:t> </w:t>
      </w:r>
      <w:r>
        <w:rPr>
          <w:lang w:val="es-ES"/>
        </w:rPr>
        <w:t>305).</w:t>
      </w:r>
    </w:p>
    <w:p w14:paraId="53053D93" w14:textId="51EADEE1" w:rsidR="003E5D1B" w:rsidRPr="008357EA" w:rsidRDefault="00E26782">
      <w:pPr>
        <w:numPr>
          <w:ilvl w:val="0"/>
          <w:numId w:val="1"/>
        </w:numPr>
        <w:tabs>
          <w:tab w:val="clear" w:pos="1134"/>
          <w:tab w:val="left" w:pos="851"/>
        </w:tabs>
        <w:spacing w:before="240" w:after="240"/>
        <w:ind w:left="0" w:firstLine="0"/>
        <w:jc w:val="left"/>
        <w:rPr>
          <w:lang w:val="es-419"/>
        </w:rPr>
      </w:pPr>
      <w:r>
        <w:rPr>
          <w:lang w:val="es-ES"/>
        </w:rPr>
        <w:t xml:space="preserve">Dado que la Guía no se actualizaba desde hacía muchos años, era necesario revisarla a fondo. Por consiguiente, el Congreso aprobó </w:t>
      </w:r>
      <w:r w:rsidR="008C33ED">
        <w:rPr>
          <w:lang w:val="es-ES"/>
        </w:rPr>
        <w:t>el nuevo proyecto de</w:t>
      </w:r>
      <w:r>
        <w:rPr>
          <w:lang w:val="es-ES"/>
        </w:rPr>
        <w:t xml:space="preserve"> Guía (</w:t>
      </w:r>
      <w:hyperlink r:id="rId14" w:anchor="page=97" w:history="1">
        <w:r w:rsidRPr="008C33ED">
          <w:rPr>
            <w:rStyle w:val="Hyperlink"/>
            <w:lang w:val="es-ES"/>
          </w:rPr>
          <w:t>Resolución 26 (</w:t>
        </w:r>
        <w:r w:rsidR="005A15CA">
          <w:rPr>
            <w:rStyle w:val="Hyperlink"/>
            <w:lang w:val="es-ES"/>
          </w:rPr>
          <w:t>EC</w:t>
        </w:r>
        <w:r w:rsidR="005A15CA">
          <w:rPr>
            <w:rStyle w:val="Hyperlink"/>
            <w:lang w:val="es-ES"/>
          </w:rPr>
          <w:noBreakHyphen/>
        </w:r>
        <w:r w:rsidRPr="008C33ED">
          <w:rPr>
            <w:rStyle w:val="Hyperlink"/>
            <w:lang w:val="es-ES"/>
          </w:rPr>
          <w:t>70)</w:t>
        </w:r>
      </w:hyperlink>
      <w:r>
        <w:rPr>
          <w:lang w:val="es-ES"/>
        </w:rPr>
        <w:t xml:space="preserve"> - Enmiendas al </w:t>
      </w:r>
      <w:r w:rsidR="002D6434" w:rsidRPr="002D6434">
        <w:rPr>
          <w:i/>
          <w:iCs/>
          <w:lang w:val="es-ES"/>
        </w:rPr>
        <w:t>Manual del Sistema Mundial de Proceso de Datos y de Predicción</w:t>
      </w:r>
      <w:r>
        <w:rPr>
          <w:lang w:val="es-ES"/>
        </w:rPr>
        <w:t xml:space="preserve"> (</w:t>
      </w:r>
      <w:r w:rsidR="00EB4587">
        <w:rPr>
          <w:lang w:val="es-ES"/>
        </w:rPr>
        <w:t>OMM</w:t>
      </w:r>
      <w:r w:rsidR="00EB4587">
        <w:rPr>
          <w:lang w:val="es-ES"/>
        </w:rPr>
        <w:noBreakHyphen/>
        <w:t>Nº</w:t>
      </w:r>
      <w:r w:rsidR="0093047C">
        <w:rPr>
          <w:lang w:val="es-ES"/>
        </w:rPr>
        <w:t> </w:t>
      </w:r>
      <w:r>
        <w:rPr>
          <w:lang w:val="es-ES"/>
        </w:rPr>
        <w:t>485)). El Comité Permanente de Proceso de Datos para la Modelización y Predicción Aplicadas del Sistema Tierra y su Equipo de Expertos para la Elaboración de la Guía del</w:t>
      </w:r>
      <w:r w:rsidR="008C33ED">
        <w:rPr>
          <w:lang w:val="es-ES"/>
        </w:rPr>
        <w:t xml:space="preserve"> S</w:t>
      </w:r>
      <w:r w:rsidR="008C33ED" w:rsidRPr="008C33ED">
        <w:rPr>
          <w:lang w:val="es-ES"/>
        </w:rPr>
        <w:t>istema Mundial de Proceso de Datos y de Predicción</w:t>
      </w:r>
      <w:r w:rsidR="005A15CA">
        <w:rPr>
          <w:lang w:val="es-ES"/>
        </w:rPr>
        <w:t xml:space="preserve"> (</w:t>
      </w:r>
      <w:r w:rsidR="005A15CA" w:rsidRPr="005A15CA">
        <w:rPr>
          <w:lang w:val="es-ES"/>
        </w:rPr>
        <w:t>GDPFS</w:t>
      </w:r>
      <w:r w:rsidR="005A15CA">
        <w:rPr>
          <w:lang w:val="es-ES"/>
        </w:rPr>
        <w:t xml:space="preserve">) </w:t>
      </w:r>
      <w:r>
        <w:rPr>
          <w:lang w:val="es-ES"/>
        </w:rPr>
        <w:t xml:space="preserve">han redactado la nueva Guía básicamente </w:t>
      </w:r>
      <w:r w:rsidR="008C33ED">
        <w:rPr>
          <w:lang w:val="es-ES"/>
        </w:rPr>
        <w:t>de conformidad con ese proyecto</w:t>
      </w:r>
      <w:r>
        <w:rPr>
          <w:lang w:val="es-ES"/>
        </w:rPr>
        <w:t>.</w:t>
      </w:r>
    </w:p>
    <w:p w14:paraId="0B181C14" w14:textId="5A9C319B" w:rsidR="003E5D1B" w:rsidRPr="008357EA" w:rsidRDefault="00E26782">
      <w:pPr>
        <w:numPr>
          <w:ilvl w:val="0"/>
          <w:numId w:val="1"/>
        </w:numPr>
        <w:tabs>
          <w:tab w:val="clear" w:pos="1134"/>
          <w:tab w:val="left" w:pos="851"/>
        </w:tabs>
        <w:spacing w:before="240" w:after="240"/>
        <w:ind w:left="0" w:firstLine="0"/>
        <w:jc w:val="left"/>
        <w:rPr>
          <w:lang w:val="es-419"/>
        </w:rPr>
      </w:pPr>
      <w:r>
        <w:rPr>
          <w:lang w:val="es-ES"/>
        </w:rPr>
        <w:t xml:space="preserve">La Comisión de Observaciones, Infraestructura y Sistemas de Información (INFCOM) examinó la nueva Guía y el nuevo título </w:t>
      </w:r>
      <w:r w:rsidRPr="005A15CA">
        <w:rPr>
          <w:lang w:val="es-ES"/>
        </w:rPr>
        <w:t>"</w:t>
      </w:r>
      <w:r w:rsidR="002D6434" w:rsidRPr="005A15CA">
        <w:rPr>
          <w:lang w:val="es-ES"/>
        </w:rPr>
        <w:t>Guía del Sistema Mundial de Proceso de Datos</w:t>
      </w:r>
      <w:r w:rsidRPr="005A15CA">
        <w:rPr>
          <w:lang w:val="es-ES"/>
        </w:rPr>
        <w:t xml:space="preserve"> y de Predicción"</w:t>
      </w:r>
      <w:r>
        <w:rPr>
          <w:lang w:val="es-ES"/>
        </w:rPr>
        <w:t>, y acordó recomendar al Consejo Ejecutivo que aprobara la nueva Guía (</w:t>
      </w:r>
      <w:hyperlink r:id="rId15" w:history="1">
        <w:r w:rsidRPr="005A15CA">
          <w:rPr>
            <w:rStyle w:val="Hyperlink"/>
            <w:lang w:val="es-ES"/>
          </w:rPr>
          <w:t>Recom</w:t>
        </w:r>
        <w:r w:rsidR="00BA65E5">
          <w:rPr>
            <w:rStyle w:val="Hyperlink"/>
            <w:lang w:val="es-ES"/>
          </w:rPr>
          <w:t>endación</w:t>
        </w:r>
        <w:r w:rsidRPr="005A15CA">
          <w:rPr>
            <w:rStyle w:val="Hyperlink"/>
            <w:lang w:val="es-ES"/>
          </w:rPr>
          <w:t xml:space="preserve"> 6.4(3)/2 (INFCOM-2</w:t>
        </w:r>
      </w:hyperlink>
      <w:r>
        <w:rPr>
          <w:lang w:val="es-ES"/>
        </w:rPr>
        <w:t xml:space="preserve">) - Elaboración de una nueva versión de la </w:t>
      </w:r>
      <w:r w:rsidR="002D6434" w:rsidRPr="002D6434">
        <w:rPr>
          <w:i/>
          <w:iCs/>
          <w:lang w:val="es-ES"/>
        </w:rPr>
        <w:t>Guía del Sistema Mundial de Proceso de Datos</w:t>
      </w:r>
      <w:r>
        <w:rPr>
          <w:lang w:val="es-ES"/>
        </w:rPr>
        <w:t xml:space="preserve"> (</w:t>
      </w:r>
      <w:r w:rsidR="00EB4587">
        <w:rPr>
          <w:lang w:val="es-ES"/>
        </w:rPr>
        <w:t>OMM</w:t>
      </w:r>
      <w:r w:rsidR="00EB4587">
        <w:rPr>
          <w:lang w:val="es-ES"/>
        </w:rPr>
        <w:noBreakHyphen/>
        <w:t>Nº</w:t>
      </w:r>
      <w:r w:rsidR="0093047C">
        <w:rPr>
          <w:lang w:val="es-ES"/>
        </w:rPr>
        <w:t> </w:t>
      </w:r>
      <w:r>
        <w:rPr>
          <w:lang w:val="es-ES"/>
        </w:rPr>
        <w:t xml:space="preserve">305)). </w:t>
      </w:r>
    </w:p>
    <w:p w14:paraId="36F9DF6B" w14:textId="71038F4E" w:rsidR="003E5D1B" w:rsidRPr="008357EA" w:rsidRDefault="00E26782">
      <w:pPr>
        <w:numPr>
          <w:ilvl w:val="0"/>
          <w:numId w:val="1"/>
        </w:numPr>
        <w:tabs>
          <w:tab w:val="clear" w:pos="1134"/>
          <w:tab w:val="left" w:pos="851"/>
        </w:tabs>
        <w:spacing w:before="240" w:after="240"/>
        <w:ind w:left="0" w:firstLine="0"/>
        <w:jc w:val="left"/>
        <w:rPr>
          <w:lang w:val="es-419"/>
        </w:rPr>
      </w:pPr>
      <w:r>
        <w:rPr>
          <w:lang w:val="es-ES"/>
        </w:rPr>
        <w:t xml:space="preserve">Aunque en la segunda reunión de la INFCOM (INFCOM-2) solo estaba disponible la versión en inglés del proyecto de Guía, las versiones traducidas a </w:t>
      </w:r>
      <w:r w:rsidR="006E45F3">
        <w:rPr>
          <w:lang w:val="es-ES"/>
        </w:rPr>
        <w:t>los demás</w:t>
      </w:r>
      <w:r>
        <w:rPr>
          <w:lang w:val="es-ES"/>
        </w:rPr>
        <w:t xml:space="preserve"> idiomas oficiales están disponibles en la 76ª reunión del Consejo Ejecutivo (</w:t>
      </w:r>
      <w:r w:rsidR="005A15CA">
        <w:rPr>
          <w:lang w:val="es-ES"/>
        </w:rPr>
        <w:t>EC</w:t>
      </w:r>
      <w:r w:rsidR="005A15CA">
        <w:rPr>
          <w:lang w:val="es-ES"/>
        </w:rPr>
        <w:noBreakHyphen/>
      </w:r>
      <w:r>
        <w:rPr>
          <w:lang w:val="es-ES"/>
        </w:rPr>
        <w:t>76) (2023).</w:t>
      </w:r>
    </w:p>
    <w:p w14:paraId="2AFCCF88" w14:textId="77777777" w:rsidR="003E5D1B" w:rsidRPr="008357EA" w:rsidRDefault="003E5D1B">
      <w:pPr>
        <w:tabs>
          <w:tab w:val="clear" w:pos="1134"/>
        </w:tabs>
        <w:spacing w:before="240" w:after="240"/>
        <w:jc w:val="left"/>
        <w:rPr>
          <w:lang w:val="es-419"/>
        </w:rPr>
      </w:pPr>
    </w:p>
    <w:p w14:paraId="3FB26F12" w14:textId="77777777" w:rsidR="003E5D1B" w:rsidRPr="008357EA" w:rsidRDefault="00E26782">
      <w:pPr>
        <w:tabs>
          <w:tab w:val="clear" w:pos="1134"/>
        </w:tabs>
        <w:rPr>
          <w:rFonts w:eastAsia="Verdana" w:cs="Verdana"/>
          <w:b/>
          <w:bCs/>
          <w:caps/>
          <w:kern w:val="32"/>
          <w:sz w:val="24"/>
          <w:szCs w:val="24"/>
          <w:lang w:val="es-419" w:eastAsia="zh-TW"/>
        </w:rPr>
      </w:pPr>
      <w:r w:rsidRPr="008357EA">
        <w:rPr>
          <w:lang w:val="es-419"/>
        </w:rPr>
        <w:br w:type="page"/>
      </w:r>
    </w:p>
    <w:p w14:paraId="3B5BD723" w14:textId="77777777" w:rsidR="003E5D1B" w:rsidRPr="008357EA" w:rsidRDefault="00E26782">
      <w:pPr>
        <w:pStyle w:val="Heading1"/>
        <w:rPr>
          <w:lang w:val="es-419"/>
        </w:rPr>
      </w:pPr>
      <w:r>
        <w:rPr>
          <w:lang w:val="es-ES"/>
        </w:rPr>
        <w:lastRenderedPageBreak/>
        <w:t>PROYECTO DE RESOLUCIÓN</w:t>
      </w:r>
    </w:p>
    <w:p w14:paraId="4D592C23" w14:textId="013ED0BA" w:rsidR="003E5D1B" w:rsidRPr="008357EA" w:rsidRDefault="00E26782">
      <w:pPr>
        <w:pStyle w:val="Heading2"/>
        <w:rPr>
          <w:lang w:val="es-419"/>
        </w:rPr>
      </w:pPr>
      <w:r>
        <w:rPr>
          <w:lang w:val="es-ES"/>
        </w:rPr>
        <w:t>Proyecto de Resolución 3.2(12)/1 (</w:t>
      </w:r>
      <w:r w:rsidR="005A15CA">
        <w:rPr>
          <w:lang w:val="es-ES"/>
        </w:rPr>
        <w:t>EC</w:t>
      </w:r>
      <w:r w:rsidR="005A15CA">
        <w:rPr>
          <w:lang w:val="es-ES"/>
        </w:rPr>
        <w:noBreakHyphen/>
      </w:r>
      <w:r>
        <w:rPr>
          <w:lang w:val="es-ES"/>
        </w:rPr>
        <w:t>76)</w:t>
      </w:r>
    </w:p>
    <w:p w14:paraId="70FF0D0F" w14:textId="727956D3" w:rsidR="003E5D1B" w:rsidRPr="008357EA" w:rsidRDefault="00E26782">
      <w:pPr>
        <w:pStyle w:val="Heading2"/>
        <w:rPr>
          <w:sz w:val="20"/>
          <w:szCs w:val="20"/>
          <w:lang w:val="es-419"/>
        </w:rPr>
      </w:pPr>
      <w:r>
        <w:rPr>
          <w:lang w:val="es-ES"/>
        </w:rPr>
        <w:t xml:space="preserve">Elaboración de una nueva versión de la </w:t>
      </w:r>
      <w:r w:rsidR="002D6434" w:rsidRPr="002D6434">
        <w:rPr>
          <w:i/>
          <w:iCs w:val="0"/>
          <w:lang w:val="es-ES"/>
        </w:rPr>
        <w:t>Guía del Sistema Mundial de Proceso de Datos</w:t>
      </w:r>
      <w:r>
        <w:rPr>
          <w:lang w:val="es-ES"/>
        </w:rPr>
        <w:t xml:space="preserve"> (</w:t>
      </w:r>
      <w:r w:rsidR="00EB4587">
        <w:rPr>
          <w:lang w:val="es-ES"/>
        </w:rPr>
        <w:t>OMM</w:t>
      </w:r>
      <w:r w:rsidR="00EB4587">
        <w:rPr>
          <w:lang w:val="es-ES"/>
        </w:rPr>
        <w:noBreakHyphen/>
        <w:t>Nº</w:t>
      </w:r>
      <w:r w:rsidR="0093047C">
        <w:rPr>
          <w:lang w:val="es-ES"/>
        </w:rPr>
        <w:t> </w:t>
      </w:r>
      <w:r>
        <w:rPr>
          <w:lang w:val="es-ES"/>
        </w:rPr>
        <w:t>305).</w:t>
      </w:r>
    </w:p>
    <w:p w14:paraId="03A4EA32" w14:textId="77777777" w:rsidR="003E5D1B" w:rsidRPr="008357EA" w:rsidRDefault="00E26782">
      <w:pPr>
        <w:pStyle w:val="WMOBodyText"/>
        <w:rPr>
          <w:lang w:val="es-419"/>
        </w:rPr>
      </w:pPr>
      <w:r>
        <w:rPr>
          <w:lang w:val="es-ES"/>
        </w:rPr>
        <w:t>EL CONSEJO EJECUTIVO,</w:t>
      </w:r>
    </w:p>
    <w:p w14:paraId="68B92973" w14:textId="77777777" w:rsidR="003E5D1B" w:rsidRPr="008357EA" w:rsidRDefault="00E26782">
      <w:pPr>
        <w:pStyle w:val="WMOBodyText"/>
        <w:rPr>
          <w:lang w:val="es-419"/>
        </w:rPr>
      </w:pPr>
      <w:r>
        <w:rPr>
          <w:b/>
          <w:bCs/>
          <w:lang w:val="es-ES"/>
        </w:rPr>
        <w:t>Recordando:</w:t>
      </w:r>
    </w:p>
    <w:p w14:paraId="2277FDD7" w14:textId="6FEA3709" w:rsidR="003E5D1B" w:rsidRPr="008357EA" w:rsidRDefault="00E26782">
      <w:pPr>
        <w:pStyle w:val="WMOBodyText"/>
        <w:ind w:left="567" w:hanging="567"/>
        <w:rPr>
          <w:lang w:val="es-419"/>
        </w:rPr>
      </w:pPr>
      <w:r>
        <w:rPr>
          <w:lang w:val="es-ES"/>
        </w:rPr>
        <w:t>1)</w:t>
      </w:r>
      <w:r>
        <w:rPr>
          <w:lang w:val="es-ES"/>
        </w:rPr>
        <w:tab/>
        <w:t xml:space="preserve">la </w:t>
      </w:r>
      <w:hyperlink r:id="rId16" w:anchor="page=172" w:history="1">
        <w:r w:rsidR="006E45F3" w:rsidRPr="002D6434">
          <w:rPr>
            <w:rStyle w:val="Hyperlink"/>
            <w:lang w:val="es-ES"/>
          </w:rPr>
          <w:t>Resolución 18 (</w:t>
        </w:r>
        <w:r w:rsidR="006E45F3">
          <w:rPr>
            <w:rStyle w:val="Hyperlink"/>
            <w:lang w:val="es-ES"/>
          </w:rPr>
          <w:t>EC</w:t>
        </w:r>
        <w:r w:rsidR="006E45F3">
          <w:rPr>
            <w:rStyle w:val="Hyperlink"/>
            <w:lang w:val="es-ES"/>
          </w:rPr>
          <w:noBreakHyphen/>
        </w:r>
        <w:r w:rsidR="006E45F3" w:rsidRPr="002D6434">
          <w:rPr>
            <w:rStyle w:val="Hyperlink"/>
            <w:lang w:val="es-ES"/>
          </w:rPr>
          <w:t>69)</w:t>
        </w:r>
      </w:hyperlink>
      <w:r>
        <w:rPr>
          <w:lang w:val="es-ES"/>
        </w:rPr>
        <w:t xml:space="preserve"> – Versión revisada del </w:t>
      </w:r>
      <w:r w:rsidR="002D6434" w:rsidRPr="002D6434">
        <w:rPr>
          <w:i/>
          <w:iCs/>
          <w:lang w:val="es-ES"/>
        </w:rPr>
        <w:t>Manual del Sistema Mundial de Proceso de Datos y de Predicción</w:t>
      </w:r>
      <w:r>
        <w:rPr>
          <w:lang w:val="es-ES"/>
        </w:rPr>
        <w:t xml:space="preserve"> (</w:t>
      </w:r>
      <w:r w:rsidR="00EB4587">
        <w:rPr>
          <w:lang w:val="es-ES"/>
        </w:rPr>
        <w:t>OMM</w:t>
      </w:r>
      <w:r w:rsidR="00EB4587">
        <w:rPr>
          <w:lang w:val="es-ES"/>
        </w:rPr>
        <w:noBreakHyphen/>
        <w:t>Nº</w:t>
      </w:r>
      <w:r w:rsidR="0093047C">
        <w:rPr>
          <w:lang w:val="es-ES"/>
        </w:rPr>
        <w:t> </w:t>
      </w:r>
      <w:r>
        <w:rPr>
          <w:lang w:val="es-ES"/>
        </w:rPr>
        <w:t>485),</w:t>
      </w:r>
    </w:p>
    <w:p w14:paraId="7051EB82" w14:textId="38DEE258" w:rsidR="003E5D1B" w:rsidRPr="008357EA" w:rsidRDefault="00E26782">
      <w:pPr>
        <w:pStyle w:val="WMOBodyText"/>
        <w:ind w:left="567" w:hanging="567"/>
        <w:rPr>
          <w:lang w:val="es-419"/>
        </w:rPr>
      </w:pPr>
      <w:r>
        <w:rPr>
          <w:lang w:val="es-ES"/>
        </w:rPr>
        <w:t>2)</w:t>
      </w:r>
      <w:r>
        <w:rPr>
          <w:lang w:val="es-ES"/>
        </w:rPr>
        <w:tab/>
        <w:t xml:space="preserve">la </w:t>
      </w:r>
      <w:hyperlink r:id="rId17" w:anchor="page=97" w:history="1">
        <w:r w:rsidR="006E45F3" w:rsidRPr="008C33ED">
          <w:rPr>
            <w:rStyle w:val="Hyperlink"/>
            <w:lang w:val="es-ES"/>
          </w:rPr>
          <w:t>Resolución 26 (</w:t>
        </w:r>
        <w:r w:rsidR="006E45F3">
          <w:rPr>
            <w:rStyle w:val="Hyperlink"/>
            <w:lang w:val="es-ES"/>
          </w:rPr>
          <w:t>EC</w:t>
        </w:r>
        <w:r w:rsidR="006E45F3">
          <w:rPr>
            <w:rStyle w:val="Hyperlink"/>
            <w:lang w:val="es-ES"/>
          </w:rPr>
          <w:noBreakHyphen/>
        </w:r>
        <w:r w:rsidR="006E45F3" w:rsidRPr="008C33ED">
          <w:rPr>
            <w:rStyle w:val="Hyperlink"/>
            <w:lang w:val="es-ES"/>
          </w:rPr>
          <w:t>70)</w:t>
        </w:r>
      </w:hyperlink>
      <w:r>
        <w:rPr>
          <w:lang w:val="es-ES"/>
        </w:rPr>
        <w:t xml:space="preserve"> - Enmiendas al </w:t>
      </w:r>
      <w:r w:rsidR="002D6434" w:rsidRPr="002D6434">
        <w:rPr>
          <w:i/>
          <w:iCs/>
          <w:lang w:val="es-ES"/>
        </w:rPr>
        <w:t>Manual del Sistema Mundial de Proceso de Datos y de Predicción</w:t>
      </w:r>
      <w:r>
        <w:rPr>
          <w:lang w:val="es-ES"/>
        </w:rPr>
        <w:t xml:space="preserve"> (</w:t>
      </w:r>
      <w:r w:rsidR="00EB4587">
        <w:rPr>
          <w:lang w:val="es-ES"/>
        </w:rPr>
        <w:t>OMM</w:t>
      </w:r>
      <w:r w:rsidR="00EB4587">
        <w:rPr>
          <w:lang w:val="es-ES"/>
        </w:rPr>
        <w:noBreakHyphen/>
        <w:t>Nº</w:t>
      </w:r>
      <w:r w:rsidR="0093047C">
        <w:rPr>
          <w:lang w:val="es-ES"/>
        </w:rPr>
        <w:t> </w:t>
      </w:r>
      <w:r>
        <w:rPr>
          <w:lang w:val="es-ES"/>
        </w:rPr>
        <w:t>485),</w:t>
      </w:r>
    </w:p>
    <w:p w14:paraId="11C4C23B" w14:textId="4035E209" w:rsidR="003E5D1B" w:rsidRPr="008357EA" w:rsidRDefault="00E26782">
      <w:pPr>
        <w:pStyle w:val="WMOBodyText"/>
        <w:rPr>
          <w:lang w:val="es-419"/>
        </w:rPr>
      </w:pPr>
      <w:r>
        <w:rPr>
          <w:b/>
          <w:bCs/>
          <w:lang w:val="es-ES"/>
        </w:rPr>
        <w:t xml:space="preserve">Habiendo examinado </w:t>
      </w:r>
      <w:r>
        <w:rPr>
          <w:lang w:val="es-ES"/>
        </w:rPr>
        <w:t xml:space="preserve">la </w:t>
      </w:r>
      <w:hyperlink r:id="rId18" w:history="1">
        <w:r w:rsidR="00FF7B7D" w:rsidRPr="005A15CA">
          <w:rPr>
            <w:rStyle w:val="Hyperlink"/>
            <w:lang w:val="es-ES"/>
          </w:rPr>
          <w:t>Recom</w:t>
        </w:r>
        <w:r w:rsidR="00FF7B7D">
          <w:rPr>
            <w:rStyle w:val="Hyperlink"/>
            <w:lang w:val="es-ES"/>
          </w:rPr>
          <w:t>endación</w:t>
        </w:r>
        <w:r w:rsidR="00FF7B7D" w:rsidRPr="005A15CA">
          <w:rPr>
            <w:rStyle w:val="Hyperlink"/>
            <w:lang w:val="es-ES"/>
          </w:rPr>
          <w:t xml:space="preserve"> 6.4(3)/2 (INFCOM-2</w:t>
        </w:r>
      </w:hyperlink>
      <w:r w:rsidR="00FF7B7D">
        <w:rPr>
          <w:lang w:val="es-ES"/>
        </w:rPr>
        <w:t>)</w:t>
      </w:r>
      <w:r>
        <w:rPr>
          <w:lang w:val="es-ES"/>
        </w:rPr>
        <w:t>,</w:t>
      </w:r>
    </w:p>
    <w:p w14:paraId="445C0968" w14:textId="77777777" w:rsidR="003E5D1B" w:rsidRPr="008357EA" w:rsidRDefault="00E26782">
      <w:pPr>
        <w:pStyle w:val="WMOBodyText"/>
        <w:rPr>
          <w:lang w:val="es-419"/>
        </w:rPr>
      </w:pPr>
      <w:r>
        <w:rPr>
          <w:b/>
          <w:bCs/>
          <w:lang w:val="es-ES"/>
        </w:rPr>
        <w:t>Estando conforme</w:t>
      </w:r>
    </w:p>
    <w:p w14:paraId="19E1A88F" w14:textId="619D376E" w:rsidR="003E5D1B" w:rsidRPr="008357EA" w:rsidRDefault="00E26782">
      <w:pPr>
        <w:pStyle w:val="WMOBodyText"/>
        <w:ind w:left="567" w:hanging="567"/>
        <w:rPr>
          <w:lang w:val="es-419"/>
        </w:rPr>
      </w:pPr>
      <w:r>
        <w:rPr>
          <w:lang w:val="es-ES"/>
        </w:rPr>
        <w:t>1)</w:t>
      </w:r>
      <w:r>
        <w:rPr>
          <w:lang w:val="es-ES"/>
        </w:rPr>
        <w:tab/>
        <w:t xml:space="preserve">Con que el título de la </w:t>
      </w:r>
      <w:r w:rsidR="002D6434" w:rsidRPr="002D6434">
        <w:rPr>
          <w:i/>
          <w:iCs/>
          <w:lang w:val="es-ES"/>
        </w:rPr>
        <w:t>Guía del Sistema Mundial de Proceso de Datos</w:t>
      </w:r>
      <w:r>
        <w:rPr>
          <w:lang w:val="es-ES"/>
        </w:rPr>
        <w:t xml:space="preserve"> se modifique y pase a ser </w:t>
      </w:r>
      <w:r w:rsidR="00FC7B89" w:rsidRPr="002D6434">
        <w:rPr>
          <w:i/>
          <w:iCs/>
          <w:lang w:val="es-ES"/>
        </w:rPr>
        <w:t>Guía del Sistema Mundial de Proceso de Datos</w:t>
      </w:r>
      <w:r w:rsidR="00FC7B89">
        <w:rPr>
          <w:lang w:val="es-ES"/>
        </w:rPr>
        <w:t xml:space="preserve"> </w:t>
      </w:r>
      <w:r w:rsidR="00FC7B89" w:rsidRPr="00FC7B89">
        <w:rPr>
          <w:i/>
          <w:iCs/>
          <w:lang w:val="es-ES"/>
        </w:rPr>
        <w:t>y de Predicción</w:t>
      </w:r>
      <w:r>
        <w:rPr>
          <w:lang w:val="es-ES"/>
        </w:rPr>
        <w:t>,</w:t>
      </w:r>
    </w:p>
    <w:p w14:paraId="010C3E42" w14:textId="6D7585C5" w:rsidR="003E5D1B" w:rsidRPr="008357EA" w:rsidRDefault="00E26782">
      <w:pPr>
        <w:pStyle w:val="WMOBodyText"/>
        <w:ind w:left="567" w:hanging="567"/>
        <w:rPr>
          <w:lang w:val="es-419"/>
        </w:rPr>
      </w:pPr>
      <w:r>
        <w:rPr>
          <w:lang w:val="es-ES"/>
        </w:rPr>
        <w:t>2)</w:t>
      </w:r>
      <w:r>
        <w:rPr>
          <w:lang w:val="es-ES"/>
        </w:rPr>
        <w:tab/>
        <w:t xml:space="preserve">Con la </w:t>
      </w:r>
      <w:hyperlink r:id="rId19" w:history="1">
        <w:r w:rsidR="002D6434" w:rsidRPr="003C6739">
          <w:rPr>
            <w:rStyle w:val="Hyperlink"/>
            <w:i/>
            <w:iCs/>
            <w:lang w:val="es-ES"/>
          </w:rPr>
          <w:t>Guía del Sistema Mundial de Proceso de Datos</w:t>
        </w:r>
        <w:r w:rsidRPr="003C6739">
          <w:rPr>
            <w:rStyle w:val="Hyperlink"/>
            <w:lang w:val="es-ES"/>
          </w:rPr>
          <w:t xml:space="preserve"> y de Predicción</w:t>
        </w:r>
      </w:hyperlink>
      <w:r>
        <w:rPr>
          <w:lang w:val="es-ES"/>
        </w:rPr>
        <w:t xml:space="preserve"> (</w:t>
      </w:r>
      <w:r w:rsidR="00EB4587">
        <w:rPr>
          <w:lang w:val="es-ES"/>
        </w:rPr>
        <w:t>OMM</w:t>
      </w:r>
      <w:r w:rsidR="00EB4587">
        <w:rPr>
          <w:lang w:val="es-ES"/>
        </w:rPr>
        <w:noBreakHyphen/>
        <w:t>Nº</w:t>
      </w:r>
      <w:r w:rsidR="0093047C">
        <w:rPr>
          <w:lang w:val="es-ES"/>
        </w:rPr>
        <w:t> </w:t>
      </w:r>
      <w:r>
        <w:rPr>
          <w:lang w:val="es-ES"/>
        </w:rPr>
        <w:t xml:space="preserve">305) que figura en el </w:t>
      </w:r>
      <w:hyperlink w:anchor="Annex_to_Resolution2" w:history="1">
        <w:r w:rsidRPr="003C6739">
          <w:rPr>
            <w:rStyle w:val="Hyperlink"/>
            <w:lang w:val="es-ES"/>
          </w:rPr>
          <w:t>anexo</w:t>
        </w:r>
      </w:hyperlink>
      <w:r>
        <w:rPr>
          <w:lang w:val="es-ES"/>
        </w:rPr>
        <w:t xml:space="preserve"> a la presente Resolución,</w:t>
      </w:r>
    </w:p>
    <w:p w14:paraId="4DBD2851" w14:textId="62B37335" w:rsidR="003E5D1B" w:rsidRPr="008357EA" w:rsidRDefault="00E26782">
      <w:pPr>
        <w:pStyle w:val="WMOBodyText"/>
        <w:rPr>
          <w:rStyle w:val="normaltextrun"/>
          <w:color w:val="000000"/>
          <w:shd w:val="clear" w:color="auto" w:fill="FFFFFF"/>
          <w:lang w:val="es-419"/>
        </w:rPr>
      </w:pPr>
      <w:r>
        <w:rPr>
          <w:b/>
          <w:bCs/>
          <w:lang w:val="es-ES"/>
        </w:rPr>
        <w:t>Invita</w:t>
      </w:r>
      <w:r>
        <w:rPr>
          <w:lang w:val="es-ES"/>
        </w:rPr>
        <w:t xml:space="preserve"> a los Miembros a remitirse a la versión revisada de la </w:t>
      </w:r>
      <w:hyperlink r:id="rId20" w:history="1">
        <w:r w:rsidR="00A70D60" w:rsidRPr="003C6739">
          <w:rPr>
            <w:rStyle w:val="Hyperlink"/>
            <w:i/>
            <w:iCs/>
            <w:lang w:val="es-ES"/>
          </w:rPr>
          <w:t>Guía del Sistema Mundial de Proceso de Datos</w:t>
        </w:r>
        <w:r w:rsidR="00A70D60" w:rsidRPr="003C6739">
          <w:rPr>
            <w:rStyle w:val="Hyperlink"/>
            <w:lang w:val="es-ES"/>
          </w:rPr>
          <w:t xml:space="preserve"> y de Predicción</w:t>
        </w:r>
      </w:hyperlink>
      <w:r>
        <w:rPr>
          <w:lang w:val="es-ES"/>
        </w:rPr>
        <w:t xml:space="preserve"> (</w:t>
      </w:r>
      <w:r w:rsidR="00EB4587">
        <w:rPr>
          <w:lang w:val="es-ES"/>
        </w:rPr>
        <w:t>OMM</w:t>
      </w:r>
      <w:r w:rsidR="00EB4587">
        <w:rPr>
          <w:lang w:val="es-ES"/>
        </w:rPr>
        <w:noBreakHyphen/>
        <w:t>Nº</w:t>
      </w:r>
      <w:r w:rsidR="0093047C">
        <w:rPr>
          <w:lang w:val="es-ES"/>
        </w:rPr>
        <w:t> </w:t>
      </w:r>
      <w:r>
        <w:rPr>
          <w:lang w:val="es-ES"/>
        </w:rPr>
        <w:t xml:space="preserve">305) cuando creen productos y servicios de predicción </w:t>
      </w:r>
      <w:r w:rsidR="007414E3">
        <w:rPr>
          <w:lang w:val="es-ES"/>
        </w:rPr>
        <w:t xml:space="preserve">de conformidad con </w:t>
      </w:r>
      <w:r>
        <w:rPr>
          <w:lang w:val="es-ES"/>
        </w:rPr>
        <w:t xml:space="preserve">el Reglamento Técnico de la OMM, y a aportar el contenido que sea necesario </w:t>
      </w:r>
      <w:r w:rsidR="00A70D60">
        <w:rPr>
          <w:lang w:val="es-ES"/>
        </w:rPr>
        <w:t>incorporar</w:t>
      </w:r>
      <w:r>
        <w:rPr>
          <w:lang w:val="es-ES"/>
        </w:rPr>
        <w:t xml:space="preserve"> en el futuro, </w:t>
      </w:r>
    </w:p>
    <w:p w14:paraId="6CC08A0F" w14:textId="415198DC" w:rsidR="003E5D1B" w:rsidRPr="008357EA" w:rsidRDefault="00E26782">
      <w:pPr>
        <w:pStyle w:val="WMOBodyText"/>
        <w:rPr>
          <w:rStyle w:val="normaltextrun"/>
          <w:shd w:val="clear" w:color="auto" w:fill="FFFFFF"/>
          <w:lang w:val="es-419"/>
        </w:rPr>
      </w:pPr>
      <w:r>
        <w:rPr>
          <w:b/>
          <w:bCs/>
          <w:lang w:val="es-ES"/>
        </w:rPr>
        <w:t xml:space="preserve">Solicita </w:t>
      </w:r>
      <w:r>
        <w:rPr>
          <w:lang w:val="es-ES"/>
        </w:rPr>
        <w:t xml:space="preserve">al </w:t>
      </w:r>
      <w:r w:rsidR="00A70D60">
        <w:rPr>
          <w:lang w:val="es-ES"/>
        </w:rPr>
        <w:t>p</w:t>
      </w:r>
      <w:r>
        <w:rPr>
          <w:lang w:val="es-ES"/>
        </w:rPr>
        <w:t xml:space="preserve">residente de la INFCOM que vuelva a actualizar la </w:t>
      </w:r>
      <w:hyperlink r:id="rId21" w:history="1">
        <w:r w:rsidR="00A70D60" w:rsidRPr="003C6739">
          <w:rPr>
            <w:rStyle w:val="Hyperlink"/>
            <w:i/>
            <w:iCs/>
            <w:lang w:val="es-ES"/>
          </w:rPr>
          <w:t>Guía del Sistema Mundial de Proceso de Datos</w:t>
        </w:r>
        <w:r w:rsidR="00A70D60" w:rsidRPr="003C6739">
          <w:rPr>
            <w:rStyle w:val="Hyperlink"/>
            <w:lang w:val="es-ES"/>
          </w:rPr>
          <w:t xml:space="preserve"> y de Predicción</w:t>
        </w:r>
      </w:hyperlink>
      <w:r>
        <w:rPr>
          <w:lang w:val="es-ES"/>
        </w:rPr>
        <w:t xml:space="preserve"> (</w:t>
      </w:r>
      <w:r w:rsidR="00EB4587">
        <w:rPr>
          <w:lang w:val="es-ES"/>
        </w:rPr>
        <w:t>OMM</w:t>
      </w:r>
      <w:r w:rsidR="00EB4587">
        <w:rPr>
          <w:lang w:val="es-ES"/>
        </w:rPr>
        <w:noBreakHyphen/>
        <w:t>Nº</w:t>
      </w:r>
      <w:r w:rsidR="0093047C">
        <w:rPr>
          <w:lang w:val="es-ES"/>
        </w:rPr>
        <w:t> </w:t>
      </w:r>
      <w:r>
        <w:rPr>
          <w:lang w:val="es-ES"/>
        </w:rPr>
        <w:t xml:space="preserve">305) para reflejar las enmiendas al </w:t>
      </w:r>
      <w:hyperlink r:id="rId22" w:anchor=".YzLKh3ZByUk" w:history="1">
        <w:r w:rsidR="002D6434" w:rsidRPr="00A70D60">
          <w:rPr>
            <w:rStyle w:val="Hyperlink"/>
            <w:i/>
            <w:iCs/>
            <w:lang w:val="es-ES"/>
          </w:rPr>
          <w:t>Manual del Sistema Mundial de Proceso de Datos y de Predicción</w:t>
        </w:r>
      </w:hyperlink>
      <w:r>
        <w:rPr>
          <w:lang w:val="es-ES"/>
        </w:rPr>
        <w:t xml:space="preserve"> (</w:t>
      </w:r>
      <w:r w:rsidR="00EB4587">
        <w:rPr>
          <w:lang w:val="es-ES"/>
        </w:rPr>
        <w:t>OMM</w:t>
      </w:r>
      <w:r w:rsidR="00EB4587">
        <w:rPr>
          <w:lang w:val="es-ES"/>
        </w:rPr>
        <w:noBreakHyphen/>
        <w:t>Nº</w:t>
      </w:r>
      <w:r w:rsidR="0093047C">
        <w:rPr>
          <w:lang w:val="es-ES"/>
        </w:rPr>
        <w:t> </w:t>
      </w:r>
      <w:r>
        <w:rPr>
          <w:lang w:val="es-ES"/>
        </w:rPr>
        <w:t>485) que se aprueben en la 76ª reunión del Consejo Ejecutivo (</w:t>
      </w:r>
      <w:r w:rsidR="005A15CA">
        <w:rPr>
          <w:lang w:val="es-ES"/>
        </w:rPr>
        <w:t>EC</w:t>
      </w:r>
      <w:r w:rsidR="005A15CA">
        <w:rPr>
          <w:lang w:val="es-ES"/>
        </w:rPr>
        <w:noBreakHyphen/>
      </w:r>
      <w:r>
        <w:rPr>
          <w:lang w:val="es-ES"/>
        </w:rPr>
        <w:t xml:space="preserve">76) y el Decimonoveno Congreso Meteorológico Mundial (Cg-19), </w:t>
      </w:r>
    </w:p>
    <w:p w14:paraId="317D5690" w14:textId="1BF6A150" w:rsidR="003E5D1B" w:rsidRPr="008357EA" w:rsidRDefault="00E26782">
      <w:pPr>
        <w:pStyle w:val="WMOBodyText"/>
        <w:rPr>
          <w:lang w:val="es-419"/>
        </w:rPr>
      </w:pPr>
      <w:r w:rsidRPr="00BC4AAE">
        <w:rPr>
          <w:b/>
          <w:bCs/>
          <w:lang w:val="es-ES"/>
        </w:rPr>
        <w:t>Autoriza</w:t>
      </w:r>
      <w:r>
        <w:rPr>
          <w:lang w:val="es-ES"/>
        </w:rPr>
        <w:t xml:space="preserve"> al Secretario General a que, en consulta con el presidente de la INFCOM, introduzca enmiendas de carácter editorial en la </w:t>
      </w:r>
      <w:hyperlink r:id="rId23" w:history="1">
        <w:r w:rsidR="00BC4AAE" w:rsidRPr="003C6739">
          <w:rPr>
            <w:rStyle w:val="Hyperlink"/>
            <w:i/>
            <w:iCs/>
            <w:lang w:val="es-ES"/>
          </w:rPr>
          <w:t>Guía del Sistema Mundial de Proceso de Datos</w:t>
        </w:r>
        <w:r w:rsidR="00BC4AAE" w:rsidRPr="003C6739">
          <w:rPr>
            <w:rStyle w:val="Hyperlink"/>
            <w:lang w:val="es-ES"/>
          </w:rPr>
          <w:t xml:space="preserve"> y de Predicción</w:t>
        </w:r>
      </w:hyperlink>
      <w:r>
        <w:rPr>
          <w:lang w:val="es-ES"/>
        </w:rPr>
        <w:t xml:space="preserve"> (</w:t>
      </w:r>
      <w:r w:rsidR="00EB4587">
        <w:rPr>
          <w:lang w:val="es-ES"/>
        </w:rPr>
        <w:t>OMM</w:t>
      </w:r>
      <w:r w:rsidR="00EB4587">
        <w:rPr>
          <w:lang w:val="es-ES"/>
        </w:rPr>
        <w:noBreakHyphen/>
        <w:t>Nº</w:t>
      </w:r>
      <w:r w:rsidR="0093047C">
        <w:rPr>
          <w:lang w:val="es-ES"/>
        </w:rPr>
        <w:t> </w:t>
      </w:r>
      <w:r>
        <w:rPr>
          <w:lang w:val="es-ES"/>
        </w:rPr>
        <w:t>305).</w:t>
      </w:r>
    </w:p>
    <w:p w14:paraId="306EA88E" w14:textId="77777777" w:rsidR="003E5D1B" w:rsidRPr="008357EA" w:rsidRDefault="00E26782">
      <w:pPr>
        <w:pStyle w:val="WMOBodyText"/>
        <w:spacing w:before="480"/>
        <w:jc w:val="center"/>
        <w:rPr>
          <w:lang w:val="es-419"/>
        </w:rPr>
      </w:pPr>
      <w:r>
        <w:rPr>
          <w:lang w:val="es-ES"/>
        </w:rPr>
        <w:t>_______________</w:t>
      </w:r>
    </w:p>
    <w:p w14:paraId="20452C0D" w14:textId="77777777" w:rsidR="003E5D1B" w:rsidRPr="008357EA" w:rsidRDefault="003E5D1B">
      <w:pPr>
        <w:tabs>
          <w:tab w:val="clear" w:pos="1134"/>
        </w:tabs>
        <w:jc w:val="left"/>
        <w:rPr>
          <w:lang w:val="es-419"/>
        </w:rPr>
      </w:pPr>
    </w:p>
    <w:p w14:paraId="18B7A7BF" w14:textId="097CDB35" w:rsidR="003E5D1B" w:rsidRPr="00DF600F" w:rsidRDefault="0097129E">
      <w:pPr>
        <w:tabs>
          <w:tab w:val="clear" w:pos="1134"/>
        </w:tabs>
        <w:jc w:val="left"/>
        <w:rPr>
          <w:rStyle w:val="Hyperlink"/>
          <w:lang w:val="es-419"/>
        </w:rPr>
      </w:pPr>
      <w:hyperlink w:anchor="Annex_to_Resolution2" w:history="1">
        <w:r w:rsidR="00E26782" w:rsidRPr="00DF600F">
          <w:rPr>
            <w:rStyle w:val="Hyperlink"/>
            <w:lang w:val="es-419"/>
          </w:rPr>
          <w:t>Anexo: 1</w:t>
        </w:r>
      </w:hyperlink>
    </w:p>
    <w:p w14:paraId="58AB06A1" w14:textId="77777777" w:rsidR="003E5D1B" w:rsidRPr="008357EA" w:rsidRDefault="003E5D1B">
      <w:pPr>
        <w:tabs>
          <w:tab w:val="clear" w:pos="1134"/>
        </w:tabs>
        <w:jc w:val="left"/>
        <w:rPr>
          <w:lang w:val="es-419"/>
        </w:rPr>
      </w:pPr>
    </w:p>
    <w:p w14:paraId="342A29D4" w14:textId="77777777" w:rsidR="003E5D1B" w:rsidRPr="008357EA" w:rsidRDefault="00E26782">
      <w:pPr>
        <w:tabs>
          <w:tab w:val="clear" w:pos="1134"/>
        </w:tabs>
        <w:jc w:val="left"/>
        <w:rPr>
          <w:rFonts w:eastAsia="Verdana" w:cs="Verdana"/>
          <w:lang w:val="es-419" w:eastAsia="zh-TW"/>
        </w:rPr>
      </w:pPr>
      <w:r w:rsidRPr="008357EA">
        <w:rPr>
          <w:lang w:val="es-419"/>
        </w:rPr>
        <w:br w:type="page"/>
      </w:r>
    </w:p>
    <w:p w14:paraId="50936D9A" w14:textId="2E682B7B" w:rsidR="003E5D1B" w:rsidRPr="008357EA" w:rsidRDefault="00E26782">
      <w:pPr>
        <w:keepNext/>
        <w:keepLines/>
        <w:tabs>
          <w:tab w:val="clear" w:pos="1134"/>
        </w:tabs>
        <w:spacing w:before="360" w:after="360"/>
        <w:jc w:val="center"/>
        <w:outlineLvl w:val="1"/>
        <w:rPr>
          <w:rFonts w:eastAsia="Verdana" w:cs="Verdana"/>
          <w:b/>
          <w:bCs/>
          <w:iCs/>
          <w:sz w:val="22"/>
          <w:szCs w:val="22"/>
          <w:lang w:val="es-419"/>
        </w:rPr>
      </w:pPr>
      <w:bookmarkStart w:id="1" w:name="_Annex_to_draft_3"/>
      <w:bookmarkStart w:id="2" w:name="Annex_to_Resolution2"/>
      <w:bookmarkEnd w:id="1"/>
      <w:r>
        <w:rPr>
          <w:b/>
          <w:bCs/>
          <w:lang w:val="es-ES"/>
        </w:rPr>
        <w:lastRenderedPageBreak/>
        <w:t>Anexo al proyecto de Resolución 3.2(12)/2 (</w:t>
      </w:r>
      <w:r w:rsidR="005A15CA">
        <w:rPr>
          <w:b/>
          <w:bCs/>
          <w:lang w:val="es-ES"/>
        </w:rPr>
        <w:t>EC</w:t>
      </w:r>
      <w:r w:rsidR="005A15CA">
        <w:rPr>
          <w:b/>
          <w:bCs/>
          <w:lang w:val="es-ES"/>
        </w:rPr>
        <w:noBreakHyphen/>
      </w:r>
      <w:r>
        <w:rPr>
          <w:b/>
          <w:bCs/>
          <w:lang w:val="es-ES"/>
        </w:rPr>
        <w:t>76)</w:t>
      </w:r>
      <w:bookmarkEnd w:id="2"/>
    </w:p>
    <w:p w14:paraId="42E080A4" w14:textId="77777777" w:rsidR="003E5D1B" w:rsidRDefault="00E26782" w:rsidP="00CD2BB2">
      <w:pPr>
        <w:pStyle w:val="TPSSection"/>
      </w:pPr>
      <w:r w:rsidRPr="00CD2BB2">
        <w:fldChar w:fldCharType="begin"/>
      </w:r>
      <w:r w:rsidRPr="00CD2BB2">
        <w:instrText xml:space="preserve"> MACROBUTTON TPS_Section SECTION: Cover green</w:instrText>
      </w:r>
      <w:r w:rsidRPr="00CD2BB2">
        <w:rPr>
          <w:vanish/>
        </w:rPr>
        <w:fldChar w:fldCharType="begin"/>
      </w:r>
      <w:r w:rsidRPr="00CD2BB2">
        <w:rPr>
          <w:vanish/>
        </w:rPr>
        <w:instrText>Name="Cover green" ID="969D221B-2844-B64C-BA11-D462D455B3D1"</w:instrText>
      </w:r>
      <w:r w:rsidRPr="00CD2BB2">
        <w:fldChar w:fldCharType="end"/>
      </w:r>
      <w:r w:rsidRPr="00CD2BB2">
        <w:fldChar w:fldCharType="end"/>
      </w:r>
    </w:p>
    <w:p w14:paraId="39B3E94C" w14:textId="6C84B46A" w:rsidR="003E5D1B" w:rsidRPr="008357EA" w:rsidRDefault="002D6434">
      <w:pPr>
        <w:tabs>
          <w:tab w:val="clear" w:pos="1134"/>
        </w:tabs>
        <w:spacing w:before="120" w:after="120" w:line="276" w:lineRule="auto"/>
        <w:jc w:val="left"/>
        <w:outlineLvl w:val="0"/>
        <w:rPr>
          <w:rFonts w:eastAsiaTheme="minorHAnsi" w:cstheme="majorBidi"/>
          <w:b/>
          <w:color w:val="000000" w:themeColor="text1"/>
          <w:sz w:val="36"/>
          <w:lang w:val="es-419"/>
        </w:rPr>
      </w:pPr>
      <w:r w:rsidRPr="00DF600F">
        <w:rPr>
          <w:rFonts w:eastAsiaTheme="minorHAnsi" w:cstheme="majorBidi"/>
          <w:b/>
          <w:color w:val="000000" w:themeColor="text1"/>
          <w:sz w:val="36"/>
          <w:lang w:val="es-419" w:eastAsia="zh-TW"/>
        </w:rPr>
        <w:t>Guía del Sistema Mundial de Proceso de Datos y de Predicción</w:t>
      </w:r>
    </w:p>
    <w:p w14:paraId="4609DAA8" w14:textId="77777777" w:rsidR="003E5D1B" w:rsidRPr="00B05E65" w:rsidRDefault="00E26782">
      <w:pPr>
        <w:keepNext/>
        <w:tabs>
          <w:tab w:val="clear" w:pos="1134"/>
        </w:tabs>
        <w:spacing w:before="480" w:after="200" w:line="276" w:lineRule="auto"/>
        <w:ind w:left="1123" w:hanging="1123"/>
        <w:jc w:val="left"/>
        <w:outlineLvl w:val="3"/>
        <w:rPr>
          <w:rFonts w:eastAsiaTheme="minorHAnsi" w:cstheme="majorBidi"/>
          <w:bCs/>
          <w:caps/>
          <w:color w:val="000000" w:themeColor="text1"/>
          <w:sz w:val="24"/>
          <w:szCs w:val="24"/>
          <w:lang w:eastAsia="zh-TW"/>
        </w:rPr>
      </w:pPr>
      <w:bookmarkStart w:id="3" w:name="_Toc113024404"/>
      <w:bookmarkStart w:id="4" w:name="_Toc117501936"/>
      <w:r w:rsidRPr="00B05E65">
        <w:rPr>
          <w:rFonts w:eastAsiaTheme="minorHAnsi" w:cstheme="majorBidi"/>
          <w:bCs/>
          <w:caps/>
          <w:color w:val="000000" w:themeColor="text1"/>
          <w:sz w:val="24"/>
          <w:szCs w:val="24"/>
          <w:lang w:eastAsia="zh-TW"/>
        </w:rPr>
        <w:t xml:space="preserve">ÍNDICE </w:t>
      </w:r>
      <w:bookmarkEnd w:id="3"/>
      <w:bookmarkEnd w:id="4"/>
    </w:p>
    <w:sdt>
      <w:sdtPr>
        <w:rPr>
          <w:b/>
          <w:bCs/>
          <w:i/>
        </w:rPr>
        <w:id w:val="648947204"/>
        <w:docPartObj>
          <w:docPartGallery w:val="Table of Contents"/>
          <w:docPartUnique/>
        </w:docPartObj>
      </w:sdtPr>
      <w:sdtEndPr>
        <w:rPr>
          <w:bCs w:val="0"/>
          <w:i w:val="0"/>
          <w:noProof/>
        </w:rPr>
      </w:sdtEndPr>
      <w:sdtContent>
        <w:p w14:paraId="031634E7" w14:textId="141BB4EE" w:rsidR="003E5D1B" w:rsidRDefault="00E26782">
          <w:pPr>
            <w:tabs>
              <w:tab w:val="right" w:leader="dot" w:pos="9016"/>
            </w:tabs>
            <w:rPr>
              <w:rFonts w:asciiTheme="minorHAnsi" w:hAnsiTheme="minorHAnsi"/>
              <w:b/>
              <w:bCs/>
              <w:noProof/>
              <w:lang w:eastAsia="ko-KR"/>
            </w:rPr>
          </w:pPr>
          <w:r>
            <w:rPr>
              <w:b/>
              <w:bCs/>
              <w:sz w:val="22"/>
              <w:szCs w:val="22"/>
            </w:rPr>
            <w:fldChar w:fldCharType="begin"/>
          </w:r>
          <w:r>
            <w:instrText xml:space="preserve"> TOC \o "2-2" \h \z \t "Heading 3,3,Chapter head,1,Heading_1,2,Heading_2,3,Heading_3,4" </w:instrText>
          </w:r>
          <w:r>
            <w:rPr>
              <w:b/>
              <w:bCs/>
              <w:sz w:val="22"/>
              <w:szCs w:val="22"/>
            </w:rPr>
            <w:fldChar w:fldCharType="separate"/>
          </w:r>
          <w:hyperlink w:anchor="_Toc117501936" w:history="1">
            <w:r w:rsidR="00040873">
              <w:rPr>
                <w:noProof/>
                <w:color w:val="0000FF"/>
              </w:rPr>
              <w:t>INDICE</w:t>
            </w:r>
            <w:r w:rsidR="00040873">
              <w:rPr>
                <w:noProof/>
                <w:color w:val="0000FF"/>
              </w:rPr>
              <w:tab/>
            </w:r>
            <w:r>
              <w:rPr>
                <w:noProof/>
                <w:webHidden/>
              </w:rPr>
              <w:tab/>
            </w:r>
            <w:r>
              <w:rPr>
                <w:noProof/>
                <w:webHidden/>
              </w:rPr>
              <w:fldChar w:fldCharType="begin"/>
            </w:r>
            <w:r>
              <w:rPr>
                <w:noProof/>
                <w:webHidden/>
              </w:rPr>
              <w:instrText xml:space="preserve"> PAGEREF _Toc117501936 \h </w:instrText>
            </w:r>
            <w:r>
              <w:rPr>
                <w:noProof/>
                <w:webHidden/>
              </w:rPr>
            </w:r>
            <w:r>
              <w:rPr>
                <w:noProof/>
                <w:webHidden/>
              </w:rPr>
              <w:fldChar w:fldCharType="separate"/>
            </w:r>
            <w:r>
              <w:rPr>
                <w:noProof/>
                <w:webHidden/>
              </w:rPr>
              <w:t>4</w:t>
            </w:r>
            <w:r>
              <w:rPr>
                <w:noProof/>
                <w:webHidden/>
              </w:rPr>
              <w:fldChar w:fldCharType="end"/>
            </w:r>
          </w:hyperlink>
        </w:p>
        <w:p w14:paraId="05F83B8B" w14:textId="548A1BA2" w:rsidR="003E5D1B" w:rsidRDefault="0097129E">
          <w:pPr>
            <w:tabs>
              <w:tab w:val="right" w:leader="dot" w:pos="9016"/>
            </w:tabs>
            <w:rPr>
              <w:rFonts w:asciiTheme="minorHAnsi" w:hAnsiTheme="minorHAnsi"/>
              <w:b/>
              <w:i/>
              <w:noProof/>
              <w:sz w:val="22"/>
              <w:szCs w:val="22"/>
              <w:lang w:eastAsia="ko-KR"/>
            </w:rPr>
          </w:pPr>
          <w:hyperlink w:anchor="_Toc117501937" w:history="1">
            <w:r w:rsidR="00E26782">
              <w:rPr>
                <w:noProof/>
                <w:color w:val="0000FF"/>
              </w:rPr>
              <w:t>INTRODUC</w:t>
            </w:r>
            <w:r w:rsidR="00040873">
              <w:rPr>
                <w:noProof/>
                <w:color w:val="0000FF"/>
              </w:rPr>
              <w:t>CIÓN</w:t>
            </w:r>
            <w:r w:rsidR="00E26782">
              <w:rPr>
                <w:noProof/>
                <w:webHidden/>
              </w:rPr>
              <w:tab/>
            </w:r>
            <w:r w:rsidR="00E26782">
              <w:rPr>
                <w:noProof/>
                <w:webHidden/>
              </w:rPr>
              <w:fldChar w:fldCharType="begin"/>
            </w:r>
            <w:r w:rsidR="00E26782">
              <w:rPr>
                <w:noProof/>
                <w:webHidden/>
              </w:rPr>
              <w:instrText xml:space="preserve"> PAGEREF _Toc117501937 \h </w:instrText>
            </w:r>
            <w:r w:rsidR="00E26782">
              <w:rPr>
                <w:noProof/>
                <w:webHidden/>
              </w:rPr>
            </w:r>
            <w:r w:rsidR="00E26782">
              <w:rPr>
                <w:noProof/>
                <w:webHidden/>
              </w:rPr>
              <w:fldChar w:fldCharType="separate"/>
            </w:r>
            <w:r w:rsidR="00E26782">
              <w:rPr>
                <w:noProof/>
                <w:webHidden/>
              </w:rPr>
              <w:t>6</w:t>
            </w:r>
            <w:r w:rsidR="00E26782">
              <w:rPr>
                <w:noProof/>
                <w:webHidden/>
              </w:rPr>
              <w:fldChar w:fldCharType="end"/>
            </w:r>
          </w:hyperlink>
        </w:p>
        <w:p w14:paraId="1F10EAC3" w14:textId="54A7AD96" w:rsidR="003E5D1B" w:rsidRDefault="0097129E">
          <w:pPr>
            <w:tabs>
              <w:tab w:val="right" w:leader="dot" w:pos="9016"/>
            </w:tabs>
            <w:rPr>
              <w:rFonts w:asciiTheme="minorHAnsi" w:hAnsiTheme="minorHAnsi"/>
              <w:b/>
              <w:i/>
              <w:noProof/>
              <w:sz w:val="22"/>
              <w:szCs w:val="22"/>
              <w:lang w:eastAsia="ko-KR"/>
            </w:rPr>
          </w:pPr>
          <w:hyperlink w:anchor="_Toc117501938" w:history="1">
            <w:r w:rsidR="00E26782">
              <w:rPr>
                <w:noProof/>
                <w:color w:val="0000FF"/>
              </w:rPr>
              <w:t>PART</w:t>
            </w:r>
            <w:r w:rsidR="00040873">
              <w:rPr>
                <w:noProof/>
                <w:color w:val="0000FF"/>
              </w:rPr>
              <w:t>E</w:t>
            </w:r>
            <w:r w:rsidR="00E26782">
              <w:rPr>
                <w:noProof/>
                <w:color w:val="0000FF"/>
              </w:rPr>
              <w:t xml:space="preserve"> I. ORGANIZA</w:t>
            </w:r>
            <w:r w:rsidR="00040873">
              <w:rPr>
                <w:noProof/>
                <w:color w:val="0000FF"/>
              </w:rPr>
              <w:t>CIÓN Y RESPONSABILIDADES</w:t>
            </w:r>
            <w:r w:rsidR="00E26782">
              <w:rPr>
                <w:noProof/>
                <w:webHidden/>
              </w:rPr>
              <w:tab/>
            </w:r>
            <w:r w:rsidR="00E26782">
              <w:rPr>
                <w:noProof/>
                <w:webHidden/>
              </w:rPr>
              <w:fldChar w:fldCharType="begin"/>
            </w:r>
            <w:r w:rsidR="00E26782">
              <w:rPr>
                <w:noProof/>
                <w:webHidden/>
              </w:rPr>
              <w:instrText xml:space="preserve"> PAGEREF _Toc117501938 \h </w:instrText>
            </w:r>
            <w:r w:rsidR="00E26782">
              <w:rPr>
                <w:noProof/>
                <w:webHidden/>
              </w:rPr>
            </w:r>
            <w:r w:rsidR="00E26782">
              <w:rPr>
                <w:noProof/>
                <w:webHidden/>
              </w:rPr>
              <w:fldChar w:fldCharType="separate"/>
            </w:r>
            <w:r w:rsidR="00E26782">
              <w:rPr>
                <w:noProof/>
                <w:webHidden/>
              </w:rPr>
              <w:t>8</w:t>
            </w:r>
            <w:r w:rsidR="00E26782">
              <w:rPr>
                <w:noProof/>
                <w:webHidden/>
              </w:rPr>
              <w:fldChar w:fldCharType="end"/>
            </w:r>
          </w:hyperlink>
        </w:p>
        <w:p w14:paraId="670B0C33" w14:textId="65A5D41A" w:rsidR="003E5D1B" w:rsidRDefault="0097129E">
          <w:pPr>
            <w:tabs>
              <w:tab w:val="left" w:pos="1000"/>
              <w:tab w:val="right" w:leader="dot" w:pos="9016"/>
            </w:tabs>
            <w:ind w:left="200"/>
            <w:rPr>
              <w:rFonts w:asciiTheme="minorHAnsi" w:hAnsiTheme="minorHAnsi"/>
              <w:b/>
              <w:bCs/>
              <w:noProof/>
              <w:lang w:eastAsia="ko-KR"/>
            </w:rPr>
          </w:pPr>
          <w:hyperlink w:anchor="_Toc117501939" w:history="1">
            <w:r w:rsidR="00E26782">
              <w:rPr>
                <w:noProof/>
                <w:color w:val="0000FF"/>
              </w:rPr>
              <w:t>1.1</w:t>
            </w:r>
            <w:r w:rsidR="00E26782">
              <w:rPr>
                <w:rFonts w:asciiTheme="minorHAnsi" w:hAnsiTheme="minorHAnsi"/>
                <w:noProof/>
                <w:lang w:eastAsia="ko-KR"/>
              </w:rPr>
              <w:tab/>
            </w:r>
            <w:r w:rsidR="00040873">
              <w:rPr>
                <w:noProof/>
                <w:color w:val="0000FF"/>
              </w:rPr>
              <w:t>La visión del Sistema Mundial de Proceso de Datos y de Predicción</w:t>
            </w:r>
            <w:r w:rsidR="00E26782">
              <w:rPr>
                <w:noProof/>
                <w:webHidden/>
              </w:rPr>
              <w:tab/>
            </w:r>
            <w:r w:rsidR="00E26782">
              <w:rPr>
                <w:noProof/>
                <w:webHidden/>
              </w:rPr>
              <w:fldChar w:fldCharType="begin"/>
            </w:r>
            <w:r w:rsidR="00E26782">
              <w:rPr>
                <w:noProof/>
                <w:webHidden/>
              </w:rPr>
              <w:instrText xml:space="preserve"> PAGEREF _Toc117501939 \h </w:instrText>
            </w:r>
            <w:r w:rsidR="00E26782">
              <w:rPr>
                <w:noProof/>
                <w:webHidden/>
              </w:rPr>
            </w:r>
            <w:r w:rsidR="00E26782">
              <w:rPr>
                <w:noProof/>
                <w:webHidden/>
              </w:rPr>
              <w:fldChar w:fldCharType="separate"/>
            </w:r>
            <w:r w:rsidR="00E26782">
              <w:rPr>
                <w:noProof/>
                <w:webHidden/>
              </w:rPr>
              <w:t>8</w:t>
            </w:r>
            <w:r w:rsidR="00E26782">
              <w:rPr>
                <w:noProof/>
                <w:webHidden/>
              </w:rPr>
              <w:fldChar w:fldCharType="end"/>
            </w:r>
          </w:hyperlink>
        </w:p>
        <w:p w14:paraId="2DDFFB86" w14:textId="1427FE36" w:rsidR="003E5D1B" w:rsidRDefault="0097129E">
          <w:pPr>
            <w:tabs>
              <w:tab w:val="left" w:pos="1200"/>
              <w:tab w:val="right" w:leader="dot" w:pos="9016"/>
            </w:tabs>
            <w:ind w:left="400"/>
            <w:rPr>
              <w:rFonts w:asciiTheme="minorHAnsi" w:hAnsiTheme="minorHAnsi"/>
              <w:noProof/>
              <w:sz w:val="22"/>
              <w:szCs w:val="22"/>
              <w:lang w:eastAsia="ko-KR"/>
            </w:rPr>
          </w:pPr>
          <w:hyperlink w:anchor="_Toc117501940" w:history="1">
            <w:r w:rsidR="00E26782">
              <w:rPr>
                <w:noProof/>
                <w:color w:val="0000FF"/>
              </w:rPr>
              <w:t>1.1.1</w:t>
            </w:r>
            <w:r w:rsidR="00E26782">
              <w:rPr>
                <w:rFonts w:asciiTheme="minorHAnsi" w:hAnsiTheme="minorHAnsi"/>
                <w:noProof/>
                <w:sz w:val="22"/>
                <w:szCs w:val="22"/>
                <w:lang w:eastAsia="ko-KR"/>
              </w:rPr>
              <w:tab/>
            </w:r>
            <w:r w:rsidR="00040873" w:rsidRPr="00040873">
              <w:rPr>
                <w:noProof/>
                <w:color w:val="0000FF"/>
              </w:rPr>
              <w:t>¿Qué es el</w:t>
            </w:r>
            <w:r w:rsidR="00040873" w:rsidRPr="00040873">
              <w:rPr>
                <w:noProof/>
                <w:color w:val="0000FF"/>
              </w:rPr>
              <w:t xml:space="preserve"> </w:t>
            </w:r>
            <w:r w:rsidR="00040873" w:rsidRPr="00040873">
              <w:rPr>
                <w:noProof/>
                <w:color w:val="0000FF"/>
              </w:rPr>
              <w:t>Sistema Mundial de Proceso de Datos y de Predicción?</w:t>
            </w:r>
            <w:r w:rsidR="00E26782">
              <w:rPr>
                <w:noProof/>
                <w:webHidden/>
              </w:rPr>
              <w:tab/>
            </w:r>
            <w:r w:rsidR="00E26782">
              <w:rPr>
                <w:noProof/>
                <w:webHidden/>
              </w:rPr>
              <w:fldChar w:fldCharType="begin"/>
            </w:r>
            <w:r w:rsidR="00E26782">
              <w:rPr>
                <w:noProof/>
                <w:webHidden/>
              </w:rPr>
              <w:instrText xml:space="preserve"> PAGEREF _Toc117501940 \h </w:instrText>
            </w:r>
            <w:r w:rsidR="00E26782">
              <w:rPr>
                <w:noProof/>
                <w:webHidden/>
              </w:rPr>
            </w:r>
            <w:r w:rsidR="00E26782">
              <w:rPr>
                <w:noProof/>
                <w:webHidden/>
              </w:rPr>
              <w:fldChar w:fldCharType="separate"/>
            </w:r>
            <w:r w:rsidR="00E26782">
              <w:rPr>
                <w:noProof/>
                <w:webHidden/>
              </w:rPr>
              <w:t>8</w:t>
            </w:r>
            <w:r w:rsidR="00E26782">
              <w:rPr>
                <w:noProof/>
                <w:webHidden/>
              </w:rPr>
              <w:fldChar w:fldCharType="end"/>
            </w:r>
          </w:hyperlink>
        </w:p>
        <w:p w14:paraId="04C1108F" w14:textId="212D527E" w:rsidR="003E5D1B" w:rsidRDefault="0097129E">
          <w:pPr>
            <w:tabs>
              <w:tab w:val="left" w:pos="1200"/>
              <w:tab w:val="right" w:leader="dot" w:pos="9016"/>
            </w:tabs>
            <w:ind w:left="400"/>
            <w:rPr>
              <w:rFonts w:asciiTheme="minorHAnsi" w:hAnsiTheme="minorHAnsi"/>
              <w:noProof/>
              <w:sz w:val="22"/>
              <w:szCs w:val="22"/>
              <w:lang w:eastAsia="ko-KR"/>
            </w:rPr>
          </w:pPr>
          <w:hyperlink w:anchor="_Toc117501941" w:history="1">
            <w:r w:rsidR="00E26782">
              <w:rPr>
                <w:noProof/>
                <w:color w:val="0000FF"/>
              </w:rPr>
              <w:t>1.1.2</w:t>
            </w:r>
            <w:r w:rsidR="00E26782" w:rsidRPr="00040873">
              <w:rPr>
                <w:noProof/>
                <w:color w:val="0000FF"/>
              </w:rPr>
              <w:tab/>
            </w:r>
            <w:r w:rsidR="00040873" w:rsidRPr="00040873">
              <w:rPr>
                <w:noProof/>
                <w:color w:val="0000FF"/>
              </w:rPr>
              <w:t xml:space="preserve">La historia del Sistema </w:t>
            </w:r>
            <w:r w:rsidR="00040873" w:rsidRPr="00040873">
              <w:rPr>
                <w:noProof/>
                <w:color w:val="0000FF"/>
              </w:rPr>
              <w:t>M</w:t>
            </w:r>
            <w:r w:rsidR="00040873" w:rsidRPr="00040873">
              <w:rPr>
                <w:noProof/>
                <w:color w:val="0000FF"/>
              </w:rPr>
              <w:t>undial de Proceso de Datos y de Predicción</w:t>
            </w:r>
            <w:r w:rsidR="00E26782" w:rsidRPr="00040873">
              <w:rPr>
                <w:noProof/>
                <w:webHidden/>
                <w:color w:val="0000FF"/>
              </w:rPr>
              <w:tab/>
            </w:r>
            <w:r w:rsidR="00E26782" w:rsidRPr="00040873">
              <w:rPr>
                <w:noProof/>
                <w:webHidden/>
                <w:color w:val="0000FF"/>
              </w:rPr>
              <w:fldChar w:fldCharType="begin"/>
            </w:r>
            <w:r w:rsidR="00E26782" w:rsidRPr="00040873">
              <w:rPr>
                <w:noProof/>
                <w:webHidden/>
                <w:color w:val="0000FF"/>
              </w:rPr>
              <w:instrText xml:space="preserve"> PAGEREF _Toc117501941 \h </w:instrText>
            </w:r>
            <w:r w:rsidR="00E26782" w:rsidRPr="00040873">
              <w:rPr>
                <w:noProof/>
                <w:webHidden/>
                <w:color w:val="0000FF"/>
              </w:rPr>
            </w:r>
            <w:r w:rsidR="00E26782" w:rsidRPr="00040873">
              <w:rPr>
                <w:noProof/>
                <w:webHidden/>
                <w:color w:val="0000FF"/>
              </w:rPr>
              <w:fldChar w:fldCharType="separate"/>
            </w:r>
            <w:r w:rsidR="00E26782" w:rsidRPr="00040873">
              <w:rPr>
                <w:noProof/>
                <w:webHidden/>
                <w:color w:val="0000FF"/>
              </w:rPr>
              <w:t>9</w:t>
            </w:r>
            <w:r w:rsidR="00E26782" w:rsidRPr="00040873">
              <w:rPr>
                <w:noProof/>
                <w:webHidden/>
                <w:color w:val="0000FF"/>
              </w:rPr>
              <w:fldChar w:fldCharType="end"/>
            </w:r>
          </w:hyperlink>
        </w:p>
        <w:p w14:paraId="7DA4FF5C" w14:textId="37B764F2" w:rsidR="003E5D1B" w:rsidRDefault="0097129E" w:rsidP="00040873">
          <w:pPr>
            <w:tabs>
              <w:tab w:val="left" w:pos="1200"/>
              <w:tab w:val="right" w:leader="dot" w:pos="9016"/>
            </w:tabs>
            <w:ind w:left="400"/>
            <w:jc w:val="left"/>
            <w:rPr>
              <w:rFonts w:asciiTheme="minorHAnsi" w:hAnsiTheme="minorHAnsi"/>
              <w:noProof/>
              <w:sz w:val="22"/>
              <w:szCs w:val="22"/>
              <w:lang w:eastAsia="ko-KR"/>
            </w:rPr>
          </w:pPr>
          <w:hyperlink w:anchor="_Toc117501942" w:history="1">
            <w:r w:rsidR="00E26782">
              <w:rPr>
                <w:noProof/>
                <w:color w:val="0000FF"/>
              </w:rPr>
              <w:t>1.1.3</w:t>
            </w:r>
            <w:r w:rsidR="00E26782">
              <w:rPr>
                <w:rFonts w:asciiTheme="minorHAnsi" w:hAnsiTheme="minorHAnsi"/>
                <w:noProof/>
                <w:sz w:val="22"/>
                <w:szCs w:val="22"/>
                <w:lang w:eastAsia="ko-KR"/>
              </w:rPr>
              <w:tab/>
            </w:r>
            <w:r w:rsidR="00040873" w:rsidRPr="00040873">
              <w:rPr>
                <w:noProof/>
                <w:color w:val="0000FF"/>
              </w:rPr>
              <w:t>Hacia el Sistema Mundial de Proceso de Datos y de Predicción</w:t>
            </w:r>
            <w:r w:rsidR="00040873">
              <w:rPr>
                <w:noProof/>
                <w:color w:val="0000FF"/>
              </w:rPr>
              <w:br/>
            </w:r>
            <w:r w:rsidR="00040873">
              <w:rPr>
                <w:noProof/>
                <w:color w:val="0000FF"/>
              </w:rPr>
              <w:tab/>
            </w:r>
            <w:r w:rsidR="00040873" w:rsidRPr="00040873">
              <w:rPr>
                <w:noProof/>
                <w:color w:val="0000FF"/>
              </w:rPr>
              <w:t>sin Discontinuidad</w:t>
            </w:r>
            <w:r w:rsidR="00E26782">
              <w:rPr>
                <w:noProof/>
                <w:webHidden/>
              </w:rPr>
              <w:tab/>
            </w:r>
            <w:r w:rsidR="00BB7815">
              <w:rPr>
                <w:noProof/>
                <w:webHidden/>
              </w:rPr>
              <w:t>10</w:t>
            </w:r>
          </w:hyperlink>
        </w:p>
        <w:p w14:paraId="3DE55C37" w14:textId="5BD491AA" w:rsidR="003E5D1B" w:rsidRDefault="0097129E">
          <w:pPr>
            <w:tabs>
              <w:tab w:val="left" w:pos="1000"/>
              <w:tab w:val="right" w:leader="dot" w:pos="9016"/>
            </w:tabs>
            <w:ind w:left="200"/>
            <w:rPr>
              <w:rFonts w:asciiTheme="minorHAnsi" w:hAnsiTheme="minorHAnsi"/>
              <w:b/>
              <w:bCs/>
              <w:noProof/>
              <w:lang w:eastAsia="ko-KR"/>
            </w:rPr>
          </w:pPr>
          <w:hyperlink w:anchor="_Toc117501943" w:history="1">
            <w:r w:rsidR="00E26782">
              <w:rPr>
                <w:noProof/>
                <w:color w:val="0000FF"/>
              </w:rPr>
              <w:t>1.2</w:t>
            </w:r>
            <w:r w:rsidR="00E26782">
              <w:rPr>
                <w:rFonts w:asciiTheme="minorHAnsi" w:hAnsiTheme="minorHAnsi"/>
                <w:noProof/>
                <w:lang w:eastAsia="ko-KR"/>
              </w:rPr>
              <w:tab/>
            </w:r>
            <w:r w:rsidR="00040873">
              <w:rPr>
                <w:noProof/>
                <w:color w:val="0000FF"/>
              </w:rPr>
              <w:t>P</w:t>
            </w:r>
            <w:r w:rsidR="00040873" w:rsidRPr="00040873">
              <w:rPr>
                <w:noProof/>
                <w:color w:val="0000FF"/>
              </w:rPr>
              <w:t xml:space="preserve">rincipios que rigen el </w:t>
            </w:r>
            <w:r w:rsidR="00040873">
              <w:rPr>
                <w:noProof/>
                <w:color w:val="0000FF"/>
              </w:rPr>
              <w:t>S</w:t>
            </w:r>
            <w:r w:rsidR="00040873" w:rsidRPr="00040873">
              <w:rPr>
                <w:noProof/>
                <w:color w:val="0000FF"/>
              </w:rPr>
              <w:t xml:space="preserve">istema </w:t>
            </w:r>
            <w:r w:rsidR="00040873">
              <w:rPr>
                <w:noProof/>
                <w:color w:val="0000FF"/>
              </w:rPr>
              <w:t>M</w:t>
            </w:r>
            <w:r w:rsidR="00040873" w:rsidRPr="00040873">
              <w:rPr>
                <w:noProof/>
                <w:color w:val="0000FF"/>
              </w:rPr>
              <w:t xml:space="preserve">undial de </w:t>
            </w:r>
            <w:r w:rsidR="00040873">
              <w:rPr>
                <w:noProof/>
                <w:color w:val="0000FF"/>
              </w:rPr>
              <w:t>P</w:t>
            </w:r>
            <w:r w:rsidR="00040873" w:rsidRPr="00040873">
              <w:rPr>
                <w:noProof/>
                <w:color w:val="0000FF"/>
              </w:rPr>
              <w:t xml:space="preserve">roceso de </w:t>
            </w:r>
            <w:r w:rsidR="00040873">
              <w:rPr>
                <w:noProof/>
                <w:color w:val="0000FF"/>
              </w:rPr>
              <w:t>D</w:t>
            </w:r>
            <w:r w:rsidR="00040873" w:rsidRPr="00040873">
              <w:rPr>
                <w:noProof/>
                <w:color w:val="0000FF"/>
              </w:rPr>
              <w:t xml:space="preserve">atos y de </w:t>
            </w:r>
            <w:r w:rsidR="00040873">
              <w:rPr>
                <w:noProof/>
                <w:color w:val="0000FF"/>
              </w:rPr>
              <w:t>P</w:t>
            </w:r>
            <w:r w:rsidR="00040873" w:rsidRPr="00040873">
              <w:rPr>
                <w:noProof/>
                <w:color w:val="0000FF"/>
              </w:rPr>
              <w:t>redic</w:t>
            </w:r>
            <w:r w:rsidR="00040873" w:rsidRPr="00040873">
              <w:rPr>
                <w:noProof/>
                <w:color w:val="0000FF"/>
              </w:rPr>
              <w:t>c</w:t>
            </w:r>
            <w:r w:rsidR="00040873" w:rsidRPr="00040873">
              <w:rPr>
                <w:noProof/>
                <w:color w:val="0000FF"/>
              </w:rPr>
              <w:t>ión</w:t>
            </w:r>
            <w:r w:rsidR="00E26782">
              <w:rPr>
                <w:noProof/>
                <w:webHidden/>
              </w:rPr>
              <w:tab/>
            </w:r>
            <w:r w:rsidR="00E26782">
              <w:rPr>
                <w:noProof/>
                <w:webHidden/>
              </w:rPr>
              <w:fldChar w:fldCharType="begin"/>
            </w:r>
            <w:r w:rsidR="00E26782">
              <w:rPr>
                <w:noProof/>
                <w:webHidden/>
              </w:rPr>
              <w:instrText xml:space="preserve"> PAGEREF _Toc117501943 \h </w:instrText>
            </w:r>
            <w:r w:rsidR="00E26782">
              <w:rPr>
                <w:noProof/>
                <w:webHidden/>
              </w:rPr>
            </w:r>
            <w:r w:rsidR="00E26782">
              <w:rPr>
                <w:noProof/>
                <w:webHidden/>
              </w:rPr>
              <w:fldChar w:fldCharType="separate"/>
            </w:r>
            <w:r w:rsidR="00E26782">
              <w:rPr>
                <w:noProof/>
                <w:webHidden/>
              </w:rPr>
              <w:t>10</w:t>
            </w:r>
            <w:r w:rsidR="00E26782">
              <w:rPr>
                <w:noProof/>
                <w:webHidden/>
              </w:rPr>
              <w:fldChar w:fldCharType="end"/>
            </w:r>
          </w:hyperlink>
        </w:p>
        <w:p w14:paraId="230F841F" w14:textId="518FD288" w:rsidR="003E5D1B" w:rsidRDefault="0097129E">
          <w:pPr>
            <w:tabs>
              <w:tab w:val="left" w:pos="1000"/>
              <w:tab w:val="right" w:leader="dot" w:pos="9016"/>
            </w:tabs>
            <w:ind w:left="200"/>
            <w:rPr>
              <w:rFonts w:asciiTheme="minorHAnsi" w:hAnsiTheme="minorHAnsi"/>
              <w:b/>
              <w:bCs/>
              <w:noProof/>
              <w:lang w:eastAsia="ko-KR"/>
            </w:rPr>
          </w:pPr>
          <w:hyperlink w:anchor="_Toc117501944" w:history="1">
            <w:r w:rsidR="00E26782">
              <w:rPr>
                <w:noProof/>
                <w:color w:val="0000FF"/>
              </w:rPr>
              <w:t>1.3</w:t>
            </w:r>
            <w:r w:rsidR="00E26782">
              <w:rPr>
                <w:rFonts w:asciiTheme="minorHAnsi" w:hAnsiTheme="minorHAnsi"/>
                <w:noProof/>
                <w:lang w:eastAsia="ko-KR"/>
              </w:rPr>
              <w:tab/>
            </w:r>
            <w:r w:rsidR="00E26782">
              <w:rPr>
                <w:noProof/>
                <w:color w:val="0000FF"/>
              </w:rPr>
              <w:t>Organiza</w:t>
            </w:r>
            <w:r w:rsidR="009D7611">
              <w:rPr>
                <w:noProof/>
                <w:color w:val="0000FF"/>
              </w:rPr>
              <w:t>ción del Sistema Mundial de Pr</w:t>
            </w:r>
            <w:r w:rsidR="009D7611">
              <w:rPr>
                <w:noProof/>
                <w:color w:val="0000FF"/>
              </w:rPr>
              <w:t>o</w:t>
            </w:r>
            <w:r w:rsidR="009D7611">
              <w:rPr>
                <w:noProof/>
                <w:color w:val="0000FF"/>
              </w:rPr>
              <w:t>ceso de Datos y de Predicción</w:t>
            </w:r>
            <w:r w:rsidR="00E26782">
              <w:rPr>
                <w:noProof/>
                <w:webHidden/>
              </w:rPr>
              <w:tab/>
            </w:r>
            <w:r w:rsidR="00E26782">
              <w:rPr>
                <w:noProof/>
                <w:webHidden/>
              </w:rPr>
              <w:fldChar w:fldCharType="begin"/>
            </w:r>
            <w:r w:rsidR="00E26782">
              <w:rPr>
                <w:noProof/>
                <w:webHidden/>
              </w:rPr>
              <w:instrText xml:space="preserve"> PAGEREF _Toc117501944 \h </w:instrText>
            </w:r>
            <w:r w:rsidR="00E26782">
              <w:rPr>
                <w:noProof/>
                <w:webHidden/>
              </w:rPr>
            </w:r>
            <w:r w:rsidR="00E26782">
              <w:rPr>
                <w:noProof/>
                <w:webHidden/>
              </w:rPr>
              <w:fldChar w:fldCharType="separate"/>
            </w:r>
            <w:r w:rsidR="00E26782">
              <w:rPr>
                <w:noProof/>
                <w:webHidden/>
              </w:rPr>
              <w:t>13</w:t>
            </w:r>
            <w:r w:rsidR="00E26782">
              <w:rPr>
                <w:noProof/>
                <w:webHidden/>
              </w:rPr>
              <w:fldChar w:fldCharType="end"/>
            </w:r>
          </w:hyperlink>
        </w:p>
        <w:p w14:paraId="254C6072" w14:textId="2E51FD64" w:rsidR="003E5D1B" w:rsidRDefault="0097129E">
          <w:pPr>
            <w:tabs>
              <w:tab w:val="left" w:pos="1200"/>
              <w:tab w:val="right" w:leader="dot" w:pos="9016"/>
            </w:tabs>
            <w:ind w:left="400"/>
            <w:rPr>
              <w:rFonts w:asciiTheme="minorHAnsi" w:hAnsiTheme="minorHAnsi"/>
              <w:noProof/>
              <w:sz w:val="22"/>
              <w:szCs w:val="22"/>
              <w:lang w:eastAsia="ko-KR"/>
            </w:rPr>
          </w:pPr>
          <w:hyperlink w:anchor="_Toc117501945" w:history="1">
            <w:r w:rsidR="00E26782">
              <w:rPr>
                <w:noProof/>
                <w:color w:val="0000FF"/>
              </w:rPr>
              <w:t>1.3.1</w:t>
            </w:r>
            <w:r w:rsidR="00E26782">
              <w:rPr>
                <w:rFonts w:asciiTheme="minorHAnsi" w:hAnsiTheme="minorHAnsi"/>
                <w:noProof/>
                <w:sz w:val="22"/>
                <w:szCs w:val="22"/>
                <w:lang w:eastAsia="ko-KR"/>
              </w:rPr>
              <w:tab/>
            </w:r>
            <w:r w:rsidR="00E26782">
              <w:rPr>
                <w:noProof/>
                <w:color w:val="0000FF"/>
              </w:rPr>
              <w:t>Introduc</w:t>
            </w:r>
            <w:r w:rsidR="009D7611">
              <w:rPr>
                <w:noProof/>
                <w:color w:val="0000FF"/>
              </w:rPr>
              <w:t>ción</w:t>
            </w:r>
            <w:r w:rsidR="00E26782">
              <w:rPr>
                <w:noProof/>
                <w:webHidden/>
              </w:rPr>
              <w:tab/>
            </w:r>
            <w:r w:rsidR="00E26782">
              <w:rPr>
                <w:noProof/>
                <w:webHidden/>
              </w:rPr>
              <w:fldChar w:fldCharType="begin"/>
            </w:r>
            <w:r w:rsidR="00E26782">
              <w:rPr>
                <w:noProof/>
                <w:webHidden/>
              </w:rPr>
              <w:instrText xml:space="preserve"> PAGEREF _Toc117501945 \h </w:instrText>
            </w:r>
            <w:r w:rsidR="00E26782">
              <w:rPr>
                <w:noProof/>
                <w:webHidden/>
              </w:rPr>
            </w:r>
            <w:r w:rsidR="00E26782">
              <w:rPr>
                <w:noProof/>
                <w:webHidden/>
              </w:rPr>
              <w:fldChar w:fldCharType="separate"/>
            </w:r>
            <w:r w:rsidR="00E26782">
              <w:rPr>
                <w:noProof/>
                <w:webHidden/>
              </w:rPr>
              <w:t>13</w:t>
            </w:r>
            <w:r w:rsidR="00E26782">
              <w:rPr>
                <w:noProof/>
                <w:webHidden/>
              </w:rPr>
              <w:fldChar w:fldCharType="end"/>
            </w:r>
          </w:hyperlink>
        </w:p>
        <w:p w14:paraId="7E1CBE51" w14:textId="038BA889" w:rsidR="003E5D1B" w:rsidRDefault="0097129E">
          <w:pPr>
            <w:tabs>
              <w:tab w:val="left" w:pos="1200"/>
              <w:tab w:val="right" w:leader="dot" w:pos="9016"/>
            </w:tabs>
            <w:ind w:left="400"/>
            <w:rPr>
              <w:rFonts w:asciiTheme="minorHAnsi" w:hAnsiTheme="minorHAnsi"/>
              <w:noProof/>
              <w:sz w:val="22"/>
              <w:szCs w:val="22"/>
              <w:lang w:eastAsia="ko-KR"/>
            </w:rPr>
          </w:pPr>
          <w:hyperlink w:anchor="_Toc117501946" w:history="1">
            <w:r w:rsidR="00E26782">
              <w:rPr>
                <w:noProof/>
                <w:color w:val="0000FF"/>
              </w:rPr>
              <w:t>1.3.2</w:t>
            </w:r>
            <w:r w:rsidR="00E26782">
              <w:rPr>
                <w:rFonts w:asciiTheme="minorHAnsi" w:hAnsiTheme="minorHAnsi"/>
                <w:noProof/>
                <w:sz w:val="22"/>
                <w:szCs w:val="22"/>
                <w:lang w:eastAsia="ko-KR"/>
              </w:rPr>
              <w:tab/>
            </w:r>
            <w:r w:rsidR="00E26782">
              <w:rPr>
                <w:noProof/>
                <w:color w:val="0000FF"/>
              </w:rPr>
              <w:t xml:space="preserve"> </w:t>
            </w:r>
            <w:r w:rsidR="009D7611" w:rsidRPr="009D7611">
              <w:rPr>
                <w:noProof/>
                <w:color w:val="0000FF"/>
              </w:rPr>
              <w:t>Actividades del Sistema Mundial de Proceso de Datos y de Predicción</w:t>
            </w:r>
            <w:r w:rsidR="00E26782">
              <w:rPr>
                <w:noProof/>
                <w:webHidden/>
              </w:rPr>
              <w:tab/>
            </w:r>
            <w:r w:rsidR="00E26782">
              <w:rPr>
                <w:noProof/>
                <w:webHidden/>
              </w:rPr>
              <w:fldChar w:fldCharType="begin"/>
            </w:r>
            <w:r w:rsidR="00E26782">
              <w:rPr>
                <w:noProof/>
                <w:webHidden/>
              </w:rPr>
              <w:instrText xml:space="preserve"> PAGEREF _Toc117501946 \h </w:instrText>
            </w:r>
            <w:r w:rsidR="00E26782">
              <w:rPr>
                <w:noProof/>
                <w:webHidden/>
              </w:rPr>
            </w:r>
            <w:r w:rsidR="00E26782">
              <w:rPr>
                <w:noProof/>
                <w:webHidden/>
              </w:rPr>
              <w:fldChar w:fldCharType="separate"/>
            </w:r>
            <w:r w:rsidR="00E26782">
              <w:rPr>
                <w:noProof/>
                <w:webHidden/>
              </w:rPr>
              <w:t>1</w:t>
            </w:r>
            <w:r w:rsidR="00BB7815">
              <w:rPr>
                <w:noProof/>
                <w:webHidden/>
              </w:rPr>
              <w:t>4</w:t>
            </w:r>
            <w:r w:rsidR="00E26782">
              <w:rPr>
                <w:noProof/>
                <w:webHidden/>
              </w:rPr>
              <w:fldChar w:fldCharType="end"/>
            </w:r>
          </w:hyperlink>
        </w:p>
        <w:p w14:paraId="2FBE1F84" w14:textId="1ED92DBC" w:rsidR="003E5D1B" w:rsidRDefault="0097129E">
          <w:pPr>
            <w:tabs>
              <w:tab w:val="left" w:pos="1200"/>
              <w:tab w:val="right" w:leader="dot" w:pos="9016"/>
            </w:tabs>
            <w:ind w:left="400"/>
            <w:rPr>
              <w:rFonts w:asciiTheme="minorHAnsi" w:hAnsiTheme="minorHAnsi"/>
              <w:noProof/>
              <w:sz w:val="22"/>
              <w:szCs w:val="22"/>
              <w:lang w:eastAsia="ko-KR"/>
            </w:rPr>
          </w:pPr>
          <w:hyperlink w:anchor="_Toc117501947" w:history="1">
            <w:r w:rsidR="00E26782">
              <w:rPr>
                <w:noProof/>
                <w:color w:val="0000FF"/>
              </w:rPr>
              <w:t>1.3.3</w:t>
            </w:r>
            <w:r w:rsidR="00E26782">
              <w:rPr>
                <w:rFonts w:asciiTheme="minorHAnsi" w:hAnsiTheme="minorHAnsi"/>
                <w:noProof/>
                <w:sz w:val="22"/>
                <w:szCs w:val="22"/>
                <w:lang w:eastAsia="ko-KR"/>
              </w:rPr>
              <w:tab/>
            </w:r>
            <w:r w:rsidR="00E26782">
              <w:rPr>
                <w:noProof/>
                <w:color w:val="0000FF"/>
              </w:rPr>
              <w:t xml:space="preserve"> </w:t>
            </w:r>
            <w:r w:rsidR="009D7611" w:rsidRPr="009D7611">
              <w:rPr>
                <w:noProof/>
                <w:color w:val="0000FF"/>
              </w:rPr>
              <w:t>Centros del Sistema Mundial de Proceso de Datos y de Predicción</w:t>
            </w:r>
            <w:r w:rsidR="00E26782">
              <w:rPr>
                <w:noProof/>
                <w:webHidden/>
              </w:rPr>
              <w:tab/>
            </w:r>
            <w:r w:rsidR="00E26782">
              <w:rPr>
                <w:noProof/>
                <w:webHidden/>
              </w:rPr>
              <w:fldChar w:fldCharType="begin"/>
            </w:r>
            <w:r w:rsidR="00E26782">
              <w:rPr>
                <w:noProof/>
                <w:webHidden/>
              </w:rPr>
              <w:instrText xml:space="preserve"> PAGEREF _Toc117501947 \h </w:instrText>
            </w:r>
            <w:r w:rsidR="00E26782">
              <w:rPr>
                <w:noProof/>
                <w:webHidden/>
              </w:rPr>
            </w:r>
            <w:r w:rsidR="00E26782">
              <w:rPr>
                <w:noProof/>
                <w:webHidden/>
              </w:rPr>
              <w:fldChar w:fldCharType="separate"/>
            </w:r>
            <w:r w:rsidR="00E26782">
              <w:rPr>
                <w:noProof/>
                <w:webHidden/>
              </w:rPr>
              <w:t>1</w:t>
            </w:r>
            <w:r w:rsidR="00BB7815">
              <w:rPr>
                <w:noProof/>
                <w:webHidden/>
              </w:rPr>
              <w:t>5</w:t>
            </w:r>
            <w:r w:rsidR="00E26782">
              <w:rPr>
                <w:noProof/>
                <w:webHidden/>
              </w:rPr>
              <w:fldChar w:fldCharType="end"/>
            </w:r>
          </w:hyperlink>
        </w:p>
        <w:p w14:paraId="2BCBC89F" w14:textId="3024E433" w:rsidR="003E5D1B" w:rsidRDefault="0097129E">
          <w:pPr>
            <w:tabs>
              <w:tab w:val="left" w:pos="1600"/>
              <w:tab w:val="right" w:leader="dot" w:pos="9016"/>
            </w:tabs>
            <w:ind w:left="660"/>
            <w:rPr>
              <w:rFonts w:asciiTheme="minorHAnsi" w:hAnsiTheme="minorHAnsi"/>
              <w:noProof/>
              <w:sz w:val="22"/>
              <w:szCs w:val="22"/>
              <w:lang w:eastAsia="ko-KR"/>
            </w:rPr>
          </w:pPr>
          <w:hyperlink w:anchor="_Toc117501948" w:history="1">
            <w:r w:rsidR="00E26782">
              <w:rPr>
                <w:noProof/>
                <w:color w:val="0000FF"/>
              </w:rPr>
              <w:t>1.3.3.1</w:t>
            </w:r>
            <w:r w:rsidR="00E26782">
              <w:rPr>
                <w:rFonts w:asciiTheme="minorHAnsi" w:hAnsiTheme="minorHAnsi"/>
                <w:noProof/>
                <w:sz w:val="22"/>
                <w:szCs w:val="22"/>
                <w:lang w:eastAsia="ko-KR"/>
              </w:rPr>
              <w:tab/>
            </w:r>
            <w:r w:rsidR="009D7611">
              <w:rPr>
                <w:noProof/>
                <w:color w:val="0000FF"/>
              </w:rPr>
              <w:t xml:space="preserve">Centros </w:t>
            </w:r>
            <w:r w:rsidR="00BB7815">
              <w:rPr>
                <w:noProof/>
                <w:color w:val="0000FF"/>
              </w:rPr>
              <w:t>M</w:t>
            </w:r>
            <w:r w:rsidR="009D7611">
              <w:rPr>
                <w:noProof/>
                <w:color w:val="0000FF"/>
              </w:rPr>
              <w:t xml:space="preserve">eteorológicos </w:t>
            </w:r>
            <w:r w:rsidR="00BB7815">
              <w:rPr>
                <w:noProof/>
                <w:color w:val="0000FF"/>
              </w:rPr>
              <w:t>M</w:t>
            </w:r>
            <w:r w:rsidR="009D7611">
              <w:rPr>
                <w:noProof/>
                <w:color w:val="0000FF"/>
              </w:rPr>
              <w:t>undiales</w:t>
            </w:r>
            <w:r w:rsidR="00E26782">
              <w:rPr>
                <w:noProof/>
                <w:webHidden/>
              </w:rPr>
              <w:tab/>
            </w:r>
            <w:r w:rsidR="00E26782">
              <w:rPr>
                <w:noProof/>
                <w:webHidden/>
              </w:rPr>
              <w:fldChar w:fldCharType="begin"/>
            </w:r>
            <w:r w:rsidR="00E26782">
              <w:rPr>
                <w:noProof/>
                <w:webHidden/>
              </w:rPr>
              <w:instrText xml:space="preserve"> PAGEREF _Toc117501948 \h </w:instrText>
            </w:r>
            <w:r w:rsidR="00E26782">
              <w:rPr>
                <w:noProof/>
                <w:webHidden/>
              </w:rPr>
            </w:r>
            <w:r w:rsidR="00E26782">
              <w:rPr>
                <w:noProof/>
                <w:webHidden/>
              </w:rPr>
              <w:fldChar w:fldCharType="separate"/>
            </w:r>
            <w:r w:rsidR="00E26782">
              <w:rPr>
                <w:noProof/>
                <w:webHidden/>
              </w:rPr>
              <w:t>1</w:t>
            </w:r>
            <w:r w:rsidR="00BB7815">
              <w:rPr>
                <w:noProof/>
                <w:webHidden/>
              </w:rPr>
              <w:t>6</w:t>
            </w:r>
            <w:r w:rsidR="00E26782">
              <w:rPr>
                <w:noProof/>
                <w:webHidden/>
              </w:rPr>
              <w:fldChar w:fldCharType="end"/>
            </w:r>
          </w:hyperlink>
        </w:p>
        <w:p w14:paraId="43DC420B" w14:textId="2146B4ED" w:rsidR="003E5D1B" w:rsidRDefault="0097129E">
          <w:pPr>
            <w:tabs>
              <w:tab w:val="left" w:pos="1600"/>
              <w:tab w:val="right" w:leader="dot" w:pos="9016"/>
            </w:tabs>
            <w:ind w:left="660"/>
            <w:rPr>
              <w:rFonts w:asciiTheme="minorHAnsi" w:hAnsiTheme="minorHAnsi"/>
              <w:noProof/>
              <w:sz w:val="22"/>
              <w:szCs w:val="22"/>
              <w:lang w:eastAsia="ko-KR"/>
            </w:rPr>
          </w:pPr>
          <w:hyperlink w:anchor="_Toc117501949" w:history="1">
            <w:r w:rsidR="00E26782">
              <w:rPr>
                <w:noProof/>
                <w:color w:val="0000FF"/>
              </w:rPr>
              <w:t>1.3.3.2</w:t>
            </w:r>
            <w:r w:rsidR="00E26782">
              <w:rPr>
                <w:rFonts w:asciiTheme="minorHAnsi" w:hAnsiTheme="minorHAnsi"/>
                <w:noProof/>
                <w:sz w:val="22"/>
                <w:szCs w:val="22"/>
                <w:lang w:eastAsia="ko-KR"/>
              </w:rPr>
              <w:tab/>
            </w:r>
            <w:r w:rsidR="009D7611" w:rsidRPr="009D7611">
              <w:rPr>
                <w:noProof/>
                <w:color w:val="0000FF"/>
              </w:rPr>
              <w:t>Centros Meteorológicos Regionales Especializados</w:t>
            </w:r>
            <w:r w:rsidR="00E26782">
              <w:rPr>
                <w:noProof/>
                <w:webHidden/>
              </w:rPr>
              <w:tab/>
            </w:r>
            <w:r w:rsidR="00E26782">
              <w:rPr>
                <w:noProof/>
                <w:webHidden/>
              </w:rPr>
              <w:fldChar w:fldCharType="begin"/>
            </w:r>
            <w:r w:rsidR="00E26782">
              <w:rPr>
                <w:noProof/>
                <w:webHidden/>
              </w:rPr>
              <w:instrText xml:space="preserve"> PAGEREF _Toc117501949 \h </w:instrText>
            </w:r>
            <w:r w:rsidR="00E26782">
              <w:rPr>
                <w:noProof/>
                <w:webHidden/>
              </w:rPr>
            </w:r>
            <w:r w:rsidR="00E26782">
              <w:rPr>
                <w:noProof/>
                <w:webHidden/>
              </w:rPr>
              <w:fldChar w:fldCharType="separate"/>
            </w:r>
            <w:r w:rsidR="00E26782">
              <w:rPr>
                <w:noProof/>
                <w:webHidden/>
              </w:rPr>
              <w:t>1</w:t>
            </w:r>
            <w:r w:rsidR="00BB7815">
              <w:rPr>
                <w:noProof/>
                <w:webHidden/>
              </w:rPr>
              <w:t>7</w:t>
            </w:r>
            <w:r w:rsidR="00E26782">
              <w:rPr>
                <w:noProof/>
                <w:webHidden/>
              </w:rPr>
              <w:fldChar w:fldCharType="end"/>
            </w:r>
          </w:hyperlink>
        </w:p>
        <w:p w14:paraId="73DE885E" w14:textId="4679C292" w:rsidR="003E5D1B" w:rsidRDefault="0097129E">
          <w:pPr>
            <w:tabs>
              <w:tab w:val="left" w:pos="1600"/>
              <w:tab w:val="right" w:leader="dot" w:pos="9016"/>
            </w:tabs>
            <w:ind w:left="660"/>
            <w:rPr>
              <w:rFonts w:asciiTheme="minorHAnsi" w:hAnsiTheme="minorHAnsi"/>
              <w:noProof/>
              <w:sz w:val="22"/>
              <w:szCs w:val="22"/>
              <w:lang w:eastAsia="ko-KR"/>
            </w:rPr>
          </w:pPr>
          <w:hyperlink w:anchor="_Toc117501950" w:history="1">
            <w:r w:rsidR="00E26782">
              <w:rPr>
                <w:noProof/>
                <w:color w:val="0000FF"/>
              </w:rPr>
              <w:t>1.3.3.3</w:t>
            </w:r>
            <w:r w:rsidR="00E26782">
              <w:rPr>
                <w:rFonts w:asciiTheme="minorHAnsi" w:hAnsiTheme="minorHAnsi"/>
                <w:noProof/>
                <w:sz w:val="22"/>
                <w:szCs w:val="22"/>
                <w:lang w:eastAsia="ko-KR"/>
              </w:rPr>
              <w:tab/>
            </w:r>
            <w:r w:rsidR="009D7611">
              <w:rPr>
                <w:noProof/>
                <w:color w:val="0000FF"/>
              </w:rPr>
              <w:t>R</w:t>
            </w:r>
            <w:r w:rsidR="00E26782">
              <w:rPr>
                <w:noProof/>
                <w:color w:val="0000FF"/>
              </w:rPr>
              <w:t>e</w:t>
            </w:r>
            <w:r w:rsidR="009D7611">
              <w:rPr>
                <w:noProof/>
                <w:color w:val="0000FF"/>
              </w:rPr>
              <w:t>des</w:t>
            </w:r>
            <w:r w:rsidR="00E26782">
              <w:rPr>
                <w:noProof/>
                <w:webHidden/>
              </w:rPr>
              <w:tab/>
            </w:r>
            <w:r w:rsidR="00E26782">
              <w:rPr>
                <w:noProof/>
                <w:webHidden/>
              </w:rPr>
              <w:fldChar w:fldCharType="begin"/>
            </w:r>
            <w:r w:rsidR="00E26782">
              <w:rPr>
                <w:noProof/>
                <w:webHidden/>
              </w:rPr>
              <w:instrText xml:space="preserve"> PAGEREF _Toc117501950 \h </w:instrText>
            </w:r>
            <w:r w:rsidR="00E26782">
              <w:rPr>
                <w:noProof/>
                <w:webHidden/>
              </w:rPr>
            </w:r>
            <w:r w:rsidR="00E26782">
              <w:rPr>
                <w:noProof/>
                <w:webHidden/>
              </w:rPr>
              <w:fldChar w:fldCharType="separate"/>
            </w:r>
            <w:r w:rsidR="00E26782">
              <w:rPr>
                <w:noProof/>
                <w:webHidden/>
              </w:rPr>
              <w:t>1</w:t>
            </w:r>
            <w:r w:rsidR="00BB7815">
              <w:rPr>
                <w:noProof/>
                <w:webHidden/>
              </w:rPr>
              <w:t>7</w:t>
            </w:r>
            <w:r w:rsidR="00E26782">
              <w:rPr>
                <w:noProof/>
                <w:webHidden/>
              </w:rPr>
              <w:fldChar w:fldCharType="end"/>
            </w:r>
          </w:hyperlink>
        </w:p>
        <w:p w14:paraId="3B227F53" w14:textId="1549F847" w:rsidR="003E5D1B" w:rsidRDefault="0097129E">
          <w:pPr>
            <w:tabs>
              <w:tab w:val="left" w:pos="1600"/>
              <w:tab w:val="right" w:leader="dot" w:pos="9016"/>
            </w:tabs>
            <w:ind w:left="660"/>
            <w:rPr>
              <w:rFonts w:asciiTheme="minorHAnsi" w:hAnsiTheme="minorHAnsi"/>
              <w:noProof/>
              <w:sz w:val="22"/>
              <w:szCs w:val="22"/>
              <w:lang w:eastAsia="ko-KR"/>
            </w:rPr>
          </w:pPr>
          <w:hyperlink w:anchor="_Toc117501951" w:history="1">
            <w:r w:rsidR="00E26782">
              <w:rPr>
                <w:noProof/>
                <w:color w:val="0000FF"/>
              </w:rPr>
              <w:t>1.3.3.4</w:t>
            </w:r>
            <w:r w:rsidR="00E26782">
              <w:rPr>
                <w:rFonts w:asciiTheme="minorHAnsi" w:hAnsiTheme="minorHAnsi"/>
                <w:noProof/>
                <w:sz w:val="22"/>
                <w:szCs w:val="22"/>
                <w:lang w:eastAsia="ko-KR"/>
              </w:rPr>
              <w:tab/>
            </w:r>
            <w:r w:rsidR="009D7611">
              <w:rPr>
                <w:noProof/>
                <w:color w:val="0000FF"/>
              </w:rPr>
              <w:t>Centros Meteorológicos Nacionales</w:t>
            </w:r>
            <w:r w:rsidR="00E26782">
              <w:rPr>
                <w:noProof/>
                <w:webHidden/>
              </w:rPr>
              <w:tab/>
            </w:r>
            <w:r w:rsidR="00E26782">
              <w:rPr>
                <w:noProof/>
                <w:webHidden/>
              </w:rPr>
              <w:fldChar w:fldCharType="begin"/>
            </w:r>
            <w:r w:rsidR="00E26782">
              <w:rPr>
                <w:noProof/>
                <w:webHidden/>
              </w:rPr>
              <w:instrText xml:space="preserve"> PAGEREF _Toc117501951 \h </w:instrText>
            </w:r>
            <w:r w:rsidR="00E26782">
              <w:rPr>
                <w:noProof/>
                <w:webHidden/>
              </w:rPr>
            </w:r>
            <w:r w:rsidR="00E26782">
              <w:rPr>
                <w:noProof/>
                <w:webHidden/>
              </w:rPr>
              <w:fldChar w:fldCharType="separate"/>
            </w:r>
            <w:r w:rsidR="00E26782">
              <w:rPr>
                <w:noProof/>
                <w:webHidden/>
              </w:rPr>
              <w:t>1</w:t>
            </w:r>
            <w:r w:rsidR="00BB7815">
              <w:rPr>
                <w:noProof/>
                <w:webHidden/>
              </w:rPr>
              <w:t>8</w:t>
            </w:r>
            <w:r w:rsidR="00E26782">
              <w:rPr>
                <w:noProof/>
                <w:webHidden/>
              </w:rPr>
              <w:fldChar w:fldCharType="end"/>
            </w:r>
          </w:hyperlink>
        </w:p>
        <w:p w14:paraId="357B72B0" w14:textId="44B8BAF6" w:rsidR="003E5D1B" w:rsidRDefault="0097129E">
          <w:pPr>
            <w:tabs>
              <w:tab w:val="left" w:pos="1600"/>
              <w:tab w:val="right" w:leader="dot" w:pos="9016"/>
            </w:tabs>
            <w:ind w:left="660"/>
            <w:rPr>
              <w:rFonts w:asciiTheme="minorHAnsi" w:hAnsiTheme="minorHAnsi"/>
              <w:noProof/>
              <w:sz w:val="22"/>
              <w:szCs w:val="22"/>
              <w:lang w:eastAsia="ko-KR"/>
            </w:rPr>
          </w:pPr>
          <w:hyperlink w:anchor="_Toc117501952" w:history="1">
            <w:r w:rsidR="00E26782">
              <w:rPr>
                <w:noProof/>
                <w:color w:val="0000FF"/>
              </w:rPr>
              <w:t>1.3.3.5</w:t>
            </w:r>
            <w:r w:rsidR="00E26782">
              <w:rPr>
                <w:rFonts w:asciiTheme="minorHAnsi" w:hAnsiTheme="minorHAnsi"/>
                <w:noProof/>
                <w:sz w:val="22"/>
                <w:szCs w:val="22"/>
                <w:lang w:eastAsia="ko-KR"/>
              </w:rPr>
              <w:tab/>
            </w:r>
            <w:r w:rsidR="009D7611">
              <w:rPr>
                <w:noProof/>
                <w:color w:val="0000FF"/>
              </w:rPr>
              <w:t>Denominación de los centros</w:t>
            </w:r>
            <w:r w:rsidR="00E26782">
              <w:rPr>
                <w:noProof/>
                <w:webHidden/>
              </w:rPr>
              <w:tab/>
            </w:r>
            <w:r w:rsidR="00E26782">
              <w:rPr>
                <w:noProof/>
                <w:webHidden/>
              </w:rPr>
              <w:fldChar w:fldCharType="begin"/>
            </w:r>
            <w:r w:rsidR="00E26782">
              <w:rPr>
                <w:noProof/>
                <w:webHidden/>
              </w:rPr>
              <w:instrText xml:space="preserve"> PAGEREF _Toc117501952 \h </w:instrText>
            </w:r>
            <w:r w:rsidR="00E26782">
              <w:rPr>
                <w:noProof/>
                <w:webHidden/>
              </w:rPr>
            </w:r>
            <w:r w:rsidR="00E26782">
              <w:rPr>
                <w:noProof/>
                <w:webHidden/>
              </w:rPr>
              <w:fldChar w:fldCharType="separate"/>
            </w:r>
            <w:r w:rsidR="00E26782">
              <w:rPr>
                <w:noProof/>
                <w:webHidden/>
              </w:rPr>
              <w:t>1</w:t>
            </w:r>
            <w:r w:rsidR="00BB7815">
              <w:rPr>
                <w:noProof/>
                <w:webHidden/>
              </w:rPr>
              <w:t>8</w:t>
            </w:r>
            <w:r w:rsidR="00E26782">
              <w:rPr>
                <w:noProof/>
                <w:webHidden/>
              </w:rPr>
              <w:fldChar w:fldCharType="end"/>
            </w:r>
          </w:hyperlink>
        </w:p>
        <w:p w14:paraId="5BEB941D" w14:textId="7BA43129" w:rsidR="003E5D1B" w:rsidRDefault="0097129E" w:rsidP="009D7611">
          <w:pPr>
            <w:tabs>
              <w:tab w:val="left" w:pos="1000"/>
              <w:tab w:val="right" w:leader="dot" w:pos="9016"/>
            </w:tabs>
            <w:ind w:left="200"/>
            <w:jc w:val="left"/>
            <w:rPr>
              <w:rFonts w:asciiTheme="minorHAnsi" w:hAnsiTheme="minorHAnsi"/>
              <w:b/>
              <w:bCs/>
              <w:noProof/>
              <w:lang w:eastAsia="ko-KR"/>
            </w:rPr>
          </w:pPr>
          <w:hyperlink w:anchor="_Toc117501953" w:history="1">
            <w:r w:rsidR="00E26782">
              <w:rPr>
                <w:noProof/>
                <w:color w:val="0000FF"/>
              </w:rPr>
              <w:t>1.4</w:t>
            </w:r>
            <w:r w:rsidR="00E26782">
              <w:rPr>
                <w:rFonts w:asciiTheme="minorHAnsi" w:hAnsiTheme="minorHAnsi"/>
                <w:noProof/>
                <w:lang w:eastAsia="ko-KR"/>
              </w:rPr>
              <w:tab/>
            </w:r>
            <w:r w:rsidR="00E26782">
              <w:rPr>
                <w:noProof/>
                <w:color w:val="0000FF"/>
              </w:rPr>
              <w:t>C</w:t>
            </w:r>
            <w:r w:rsidR="009D7611">
              <w:rPr>
                <w:noProof/>
                <w:color w:val="0000FF"/>
              </w:rPr>
              <w:t>umplimiento de las funciones necesarias del Sistema Mundial de Proceso</w:t>
            </w:r>
            <w:r w:rsidR="009D7611">
              <w:rPr>
                <w:noProof/>
                <w:color w:val="0000FF"/>
              </w:rPr>
              <w:br/>
            </w:r>
            <w:r w:rsidR="009D7611">
              <w:rPr>
                <w:noProof/>
                <w:color w:val="0000FF"/>
              </w:rPr>
              <w:tab/>
              <w:t>de Datos y de Predicción</w:t>
            </w:r>
            <w:r w:rsidR="00E26782">
              <w:rPr>
                <w:noProof/>
                <w:webHidden/>
              </w:rPr>
              <w:tab/>
            </w:r>
            <w:r w:rsidR="00E26782">
              <w:rPr>
                <w:noProof/>
                <w:webHidden/>
              </w:rPr>
              <w:fldChar w:fldCharType="begin"/>
            </w:r>
            <w:r w:rsidR="00E26782">
              <w:rPr>
                <w:noProof/>
                <w:webHidden/>
              </w:rPr>
              <w:instrText xml:space="preserve"> PAGEREF _Toc117501953 \h </w:instrText>
            </w:r>
            <w:r w:rsidR="00E26782">
              <w:rPr>
                <w:noProof/>
                <w:webHidden/>
              </w:rPr>
            </w:r>
            <w:r w:rsidR="00E26782">
              <w:rPr>
                <w:noProof/>
                <w:webHidden/>
              </w:rPr>
              <w:fldChar w:fldCharType="separate"/>
            </w:r>
            <w:r w:rsidR="00E26782">
              <w:rPr>
                <w:noProof/>
                <w:webHidden/>
              </w:rPr>
              <w:t>1</w:t>
            </w:r>
            <w:r w:rsidR="00BB7815">
              <w:rPr>
                <w:noProof/>
                <w:webHidden/>
              </w:rPr>
              <w:t>9</w:t>
            </w:r>
            <w:r w:rsidR="00E26782">
              <w:rPr>
                <w:noProof/>
                <w:webHidden/>
              </w:rPr>
              <w:fldChar w:fldCharType="end"/>
            </w:r>
          </w:hyperlink>
        </w:p>
        <w:p w14:paraId="779E15FE" w14:textId="2418F524" w:rsidR="003E5D1B" w:rsidRDefault="0097129E" w:rsidP="00162611">
          <w:pPr>
            <w:tabs>
              <w:tab w:val="left" w:pos="1000"/>
              <w:tab w:val="right" w:leader="dot" w:pos="9016"/>
            </w:tabs>
            <w:ind w:left="200"/>
            <w:jc w:val="left"/>
            <w:rPr>
              <w:rFonts w:asciiTheme="minorHAnsi" w:hAnsiTheme="minorHAnsi"/>
              <w:b/>
              <w:bCs/>
              <w:noProof/>
              <w:lang w:eastAsia="ko-KR"/>
            </w:rPr>
          </w:pPr>
          <w:hyperlink w:anchor="_Toc117501954" w:history="1">
            <w:r w:rsidR="00E26782">
              <w:rPr>
                <w:noProof/>
                <w:color w:val="0000FF"/>
              </w:rPr>
              <w:t>1.5</w:t>
            </w:r>
            <w:r w:rsidR="00E26782">
              <w:rPr>
                <w:rFonts w:asciiTheme="minorHAnsi" w:hAnsiTheme="minorHAnsi"/>
                <w:noProof/>
                <w:lang w:eastAsia="ko-KR"/>
              </w:rPr>
              <w:tab/>
            </w:r>
            <w:r w:rsidR="00162611">
              <w:rPr>
                <w:noProof/>
                <w:color w:val="0000FF"/>
              </w:rPr>
              <w:t xml:space="preserve">Resumen de las competencias necesarias o recomendadas para desempeñar </w:t>
            </w:r>
            <w:r w:rsidR="00162611">
              <w:rPr>
                <w:noProof/>
                <w:color w:val="0000FF"/>
              </w:rPr>
              <w:tab/>
              <w:t>funciones del GDPFS</w:t>
            </w:r>
            <w:r w:rsidR="00E26782">
              <w:rPr>
                <w:noProof/>
                <w:webHidden/>
              </w:rPr>
              <w:tab/>
            </w:r>
            <w:r w:rsidR="00E26782">
              <w:rPr>
                <w:noProof/>
                <w:webHidden/>
              </w:rPr>
              <w:fldChar w:fldCharType="begin"/>
            </w:r>
            <w:r w:rsidR="00E26782">
              <w:rPr>
                <w:noProof/>
                <w:webHidden/>
              </w:rPr>
              <w:instrText xml:space="preserve"> PAGEREF _Toc117501954 \h </w:instrText>
            </w:r>
            <w:r w:rsidR="00E26782">
              <w:rPr>
                <w:noProof/>
                <w:webHidden/>
              </w:rPr>
            </w:r>
            <w:r w:rsidR="00E26782">
              <w:rPr>
                <w:noProof/>
                <w:webHidden/>
              </w:rPr>
              <w:fldChar w:fldCharType="separate"/>
            </w:r>
            <w:r w:rsidR="00E26782">
              <w:rPr>
                <w:noProof/>
                <w:webHidden/>
              </w:rPr>
              <w:t>1</w:t>
            </w:r>
            <w:r w:rsidR="00BB7815">
              <w:rPr>
                <w:noProof/>
                <w:webHidden/>
              </w:rPr>
              <w:t>9</w:t>
            </w:r>
            <w:r w:rsidR="00E26782">
              <w:rPr>
                <w:noProof/>
                <w:webHidden/>
              </w:rPr>
              <w:fldChar w:fldCharType="end"/>
            </w:r>
          </w:hyperlink>
        </w:p>
        <w:p w14:paraId="06BE9BFA" w14:textId="324AB0E7" w:rsidR="003E5D1B" w:rsidRDefault="0097129E">
          <w:pPr>
            <w:tabs>
              <w:tab w:val="left" w:pos="1200"/>
              <w:tab w:val="right" w:leader="dot" w:pos="9016"/>
            </w:tabs>
            <w:ind w:left="400"/>
            <w:rPr>
              <w:rFonts w:asciiTheme="minorHAnsi" w:hAnsiTheme="minorHAnsi"/>
              <w:noProof/>
              <w:sz w:val="22"/>
              <w:szCs w:val="22"/>
              <w:lang w:eastAsia="ko-KR"/>
            </w:rPr>
          </w:pPr>
          <w:hyperlink w:anchor="_Toc117501955" w:history="1">
            <w:r w:rsidR="00E26782">
              <w:rPr>
                <w:noProof/>
                <w:color w:val="0000FF"/>
              </w:rPr>
              <w:t>1.5.1</w:t>
            </w:r>
            <w:r w:rsidR="00E26782">
              <w:rPr>
                <w:rFonts w:asciiTheme="minorHAnsi" w:hAnsiTheme="minorHAnsi"/>
                <w:noProof/>
                <w:sz w:val="22"/>
                <w:szCs w:val="22"/>
                <w:lang w:eastAsia="ko-KR"/>
              </w:rPr>
              <w:tab/>
            </w:r>
            <w:r w:rsidR="0002008A">
              <w:rPr>
                <w:noProof/>
                <w:color w:val="0000FF"/>
              </w:rPr>
              <w:t>R</w:t>
            </w:r>
            <w:r w:rsidR="00E26782">
              <w:rPr>
                <w:noProof/>
                <w:color w:val="0000FF"/>
              </w:rPr>
              <w:t>e</w:t>
            </w:r>
            <w:r w:rsidR="0002008A">
              <w:rPr>
                <w:noProof/>
                <w:color w:val="0000FF"/>
              </w:rPr>
              <w:t>quisitos técnicos</w:t>
            </w:r>
            <w:r w:rsidR="00E26782">
              <w:rPr>
                <w:noProof/>
                <w:webHidden/>
              </w:rPr>
              <w:tab/>
            </w:r>
            <w:r w:rsidR="00E26782">
              <w:rPr>
                <w:noProof/>
                <w:webHidden/>
              </w:rPr>
              <w:fldChar w:fldCharType="begin"/>
            </w:r>
            <w:r w:rsidR="00E26782">
              <w:rPr>
                <w:noProof/>
                <w:webHidden/>
              </w:rPr>
              <w:instrText xml:space="preserve"> PAGEREF _Toc117501955 \h </w:instrText>
            </w:r>
            <w:r w:rsidR="00E26782">
              <w:rPr>
                <w:noProof/>
                <w:webHidden/>
              </w:rPr>
            </w:r>
            <w:r w:rsidR="00E26782">
              <w:rPr>
                <w:noProof/>
                <w:webHidden/>
              </w:rPr>
              <w:fldChar w:fldCharType="separate"/>
            </w:r>
            <w:r w:rsidR="00E26782">
              <w:rPr>
                <w:noProof/>
                <w:webHidden/>
              </w:rPr>
              <w:t>1</w:t>
            </w:r>
            <w:r w:rsidR="00BB7815">
              <w:rPr>
                <w:noProof/>
                <w:webHidden/>
              </w:rPr>
              <w:t>9</w:t>
            </w:r>
            <w:r w:rsidR="00E26782">
              <w:rPr>
                <w:noProof/>
                <w:webHidden/>
              </w:rPr>
              <w:fldChar w:fldCharType="end"/>
            </w:r>
          </w:hyperlink>
        </w:p>
        <w:p w14:paraId="59726C1C" w14:textId="1C8578B4" w:rsidR="003E5D1B" w:rsidRDefault="0097129E">
          <w:pPr>
            <w:tabs>
              <w:tab w:val="left" w:pos="1200"/>
              <w:tab w:val="right" w:leader="dot" w:pos="9016"/>
            </w:tabs>
            <w:ind w:left="400"/>
            <w:rPr>
              <w:rFonts w:asciiTheme="minorHAnsi" w:hAnsiTheme="minorHAnsi"/>
              <w:noProof/>
              <w:sz w:val="22"/>
              <w:szCs w:val="22"/>
              <w:lang w:eastAsia="ko-KR"/>
            </w:rPr>
          </w:pPr>
          <w:hyperlink w:anchor="_Toc117501956" w:history="1">
            <w:r w:rsidR="00E26782">
              <w:rPr>
                <w:noProof/>
                <w:color w:val="0000FF"/>
              </w:rPr>
              <w:t>1.5.2</w:t>
            </w:r>
            <w:r w:rsidR="00E26782">
              <w:rPr>
                <w:rFonts w:asciiTheme="minorHAnsi" w:hAnsiTheme="minorHAnsi"/>
                <w:noProof/>
                <w:sz w:val="22"/>
                <w:szCs w:val="22"/>
                <w:lang w:eastAsia="ko-KR"/>
              </w:rPr>
              <w:tab/>
            </w:r>
            <w:r w:rsidR="00E26782">
              <w:rPr>
                <w:noProof/>
                <w:color w:val="0000FF"/>
              </w:rPr>
              <w:t>Competenci</w:t>
            </w:r>
            <w:r w:rsidR="0002008A">
              <w:rPr>
                <w:noProof/>
                <w:color w:val="0000FF"/>
              </w:rPr>
              <w:t>a</w:t>
            </w:r>
            <w:r w:rsidR="00E26782">
              <w:rPr>
                <w:noProof/>
                <w:color w:val="0000FF"/>
              </w:rPr>
              <w:t xml:space="preserve">s </w:t>
            </w:r>
            <w:r w:rsidR="0002008A">
              <w:rPr>
                <w:noProof/>
                <w:color w:val="0000FF"/>
              </w:rPr>
              <w:t>del personal</w:t>
            </w:r>
            <w:r w:rsidR="00E26782">
              <w:rPr>
                <w:noProof/>
                <w:webHidden/>
              </w:rPr>
              <w:tab/>
            </w:r>
            <w:r w:rsidR="007B779A">
              <w:rPr>
                <w:noProof/>
                <w:webHidden/>
              </w:rPr>
              <w:t>20</w:t>
            </w:r>
          </w:hyperlink>
        </w:p>
        <w:p w14:paraId="15AA410C" w14:textId="31810C20" w:rsidR="003E5D1B" w:rsidRDefault="0097129E">
          <w:pPr>
            <w:tabs>
              <w:tab w:val="left" w:pos="1000"/>
              <w:tab w:val="right" w:leader="dot" w:pos="9016"/>
            </w:tabs>
            <w:ind w:left="200"/>
            <w:rPr>
              <w:rFonts w:asciiTheme="minorHAnsi" w:hAnsiTheme="minorHAnsi"/>
              <w:b/>
              <w:bCs/>
              <w:noProof/>
              <w:lang w:eastAsia="ko-KR"/>
            </w:rPr>
          </w:pPr>
          <w:hyperlink w:anchor="_Toc117501957" w:history="1">
            <w:r w:rsidR="00E26782">
              <w:rPr>
                <w:noProof/>
                <w:color w:val="0000FF"/>
              </w:rPr>
              <w:t>1.6</w:t>
            </w:r>
            <w:r w:rsidR="00E26782">
              <w:rPr>
                <w:rFonts w:asciiTheme="minorHAnsi" w:hAnsiTheme="minorHAnsi"/>
                <w:noProof/>
                <w:lang w:eastAsia="ko-KR"/>
              </w:rPr>
              <w:tab/>
            </w:r>
            <w:r w:rsidR="00E26782">
              <w:rPr>
                <w:noProof/>
                <w:color w:val="0000FF"/>
              </w:rPr>
              <w:t>Ali</w:t>
            </w:r>
            <w:r w:rsidR="00767BC9">
              <w:rPr>
                <w:noProof/>
                <w:color w:val="0000FF"/>
              </w:rPr>
              <w:t>neación con las funciones afines del Sistema de Información de la OMM</w:t>
            </w:r>
            <w:r w:rsidR="00E26782">
              <w:rPr>
                <w:noProof/>
                <w:webHidden/>
              </w:rPr>
              <w:tab/>
            </w:r>
            <w:r w:rsidR="007B779A">
              <w:rPr>
                <w:noProof/>
                <w:webHidden/>
              </w:rPr>
              <w:t>20</w:t>
            </w:r>
          </w:hyperlink>
        </w:p>
        <w:p w14:paraId="3F8E18CA" w14:textId="22B91781" w:rsidR="003E5D1B" w:rsidRDefault="0097129E" w:rsidP="00767BC9">
          <w:pPr>
            <w:tabs>
              <w:tab w:val="left" w:pos="1000"/>
              <w:tab w:val="right" w:leader="dot" w:pos="9016"/>
            </w:tabs>
            <w:ind w:left="200"/>
            <w:jc w:val="left"/>
            <w:rPr>
              <w:rFonts w:asciiTheme="minorHAnsi" w:hAnsiTheme="minorHAnsi"/>
              <w:b/>
              <w:bCs/>
              <w:noProof/>
              <w:lang w:eastAsia="ko-KR"/>
            </w:rPr>
          </w:pPr>
          <w:hyperlink w:anchor="_Toc117501958" w:history="1">
            <w:r w:rsidR="00E26782">
              <w:rPr>
                <w:noProof/>
                <w:color w:val="0000FF"/>
              </w:rPr>
              <w:t>1.7</w:t>
            </w:r>
            <w:r w:rsidR="00E26782">
              <w:rPr>
                <w:rFonts w:asciiTheme="minorHAnsi" w:hAnsiTheme="minorHAnsi"/>
                <w:noProof/>
                <w:lang w:eastAsia="ko-KR"/>
              </w:rPr>
              <w:tab/>
            </w:r>
            <w:r w:rsidR="00E26782">
              <w:rPr>
                <w:noProof/>
                <w:color w:val="0000FF"/>
              </w:rPr>
              <w:t>Ali</w:t>
            </w:r>
            <w:r w:rsidR="00767BC9">
              <w:rPr>
                <w:noProof/>
                <w:color w:val="0000FF"/>
              </w:rPr>
              <w:t>neación con las funciones afines del Sistema Mundial Integrado</w:t>
            </w:r>
            <w:r w:rsidR="00767BC9">
              <w:rPr>
                <w:noProof/>
                <w:color w:val="0000FF"/>
              </w:rPr>
              <w:br/>
            </w:r>
            <w:r w:rsidR="00767BC9">
              <w:rPr>
                <w:noProof/>
                <w:color w:val="0000FF"/>
              </w:rPr>
              <w:tab/>
              <w:t>de Sistemas de Observación de la OMM</w:t>
            </w:r>
            <w:r w:rsidR="00E26782">
              <w:rPr>
                <w:noProof/>
                <w:webHidden/>
              </w:rPr>
              <w:tab/>
            </w:r>
            <w:r w:rsidR="007B779A">
              <w:rPr>
                <w:noProof/>
                <w:webHidden/>
              </w:rPr>
              <w:t>2</w:t>
            </w:r>
            <w:r w:rsidR="00E26782">
              <w:rPr>
                <w:noProof/>
                <w:webHidden/>
              </w:rPr>
              <w:fldChar w:fldCharType="begin"/>
            </w:r>
            <w:r w:rsidR="00E26782">
              <w:rPr>
                <w:noProof/>
                <w:webHidden/>
              </w:rPr>
              <w:instrText xml:space="preserve"> PAGEREF _Toc117501958 \h </w:instrText>
            </w:r>
            <w:r w:rsidR="00E26782">
              <w:rPr>
                <w:noProof/>
                <w:webHidden/>
              </w:rPr>
            </w:r>
            <w:r w:rsidR="00E26782">
              <w:rPr>
                <w:noProof/>
                <w:webHidden/>
              </w:rPr>
              <w:fldChar w:fldCharType="separate"/>
            </w:r>
            <w:r w:rsidR="00E26782">
              <w:rPr>
                <w:noProof/>
                <w:webHidden/>
              </w:rPr>
              <w:t>1</w:t>
            </w:r>
            <w:r w:rsidR="00E26782">
              <w:rPr>
                <w:noProof/>
                <w:webHidden/>
              </w:rPr>
              <w:fldChar w:fldCharType="end"/>
            </w:r>
          </w:hyperlink>
        </w:p>
        <w:p w14:paraId="4959D666" w14:textId="4E1D3A05" w:rsidR="003E5D1B" w:rsidRDefault="0097129E">
          <w:pPr>
            <w:tabs>
              <w:tab w:val="left" w:pos="1000"/>
              <w:tab w:val="right" w:leader="dot" w:pos="9016"/>
            </w:tabs>
            <w:ind w:left="200"/>
            <w:rPr>
              <w:rFonts w:asciiTheme="minorHAnsi" w:hAnsiTheme="minorHAnsi"/>
              <w:b/>
              <w:bCs/>
              <w:noProof/>
              <w:lang w:eastAsia="ko-KR"/>
            </w:rPr>
          </w:pPr>
          <w:hyperlink w:anchor="_Toc117501959" w:history="1">
            <w:r w:rsidR="00E26782">
              <w:rPr>
                <w:noProof/>
                <w:color w:val="0000FF"/>
              </w:rPr>
              <w:t>1.8</w:t>
            </w:r>
            <w:r w:rsidR="00E26782">
              <w:rPr>
                <w:rFonts w:asciiTheme="minorHAnsi" w:hAnsiTheme="minorHAnsi"/>
                <w:noProof/>
                <w:lang w:eastAsia="ko-KR"/>
              </w:rPr>
              <w:tab/>
            </w:r>
            <w:r w:rsidR="00E26782">
              <w:rPr>
                <w:noProof/>
                <w:color w:val="0000FF"/>
              </w:rPr>
              <w:t>Interac</w:t>
            </w:r>
            <w:r w:rsidR="00767BC9">
              <w:rPr>
                <w:noProof/>
                <w:color w:val="0000FF"/>
              </w:rPr>
              <w:t>ción entre los centros del GDPFS</w:t>
            </w:r>
            <w:r w:rsidR="00E26782">
              <w:rPr>
                <w:noProof/>
                <w:webHidden/>
              </w:rPr>
              <w:tab/>
            </w:r>
            <w:r w:rsidR="007B779A">
              <w:rPr>
                <w:noProof/>
                <w:webHidden/>
              </w:rPr>
              <w:t>2</w:t>
            </w:r>
            <w:r w:rsidR="00E26782">
              <w:rPr>
                <w:noProof/>
                <w:webHidden/>
              </w:rPr>
              <w:fldChar w:fldCharType="begin"/>
            </w:r>
            <w:r w:rsidR="00E26782">
              <w:rPr>
                <w:noProof/>
                <w:webHidden/>
              </w:rPr>
              <w:instrText xml:space="preserve"> PAGEREF _Toc117501959 \h </w:instrText>
            </w:r>
            <w:r w:rsidR="00E26782">
              <w:rPr>
                <w:noProof/>
                <w:webHidden/>
              </w:rPr>
            </w:r>
            <w:r w:rsidR="00E26782">
              <w:rPr>
                <w:noProof/>
                <w:webHidden/>
              </w:rPr>
              <w:fldChar w:fldCharType="separate"/>
            </w:r>
            <w:r w:rsidR="00E26782">
              <w:rPr>
                <w:noProof/>
                <w:webHidden/>
              </w:rPr>
              <w:t>1</w:t>
            </w:r>
            <w:r w:rsidR="00E26782">
              <w:rPr>
                <w:noProof/>
                <w:webHidden/>
              </w:rPr>
              <w:fldChar w:fldCharType="end"/>
            </w:r>
          </w:hyperlink>
        </w:p>
        <w:p w14:paraId="1682D8CE" w14:textId="240F6C81" w:rsidR="003E5D1B" w:rsidRDefault="0097129E" w:rsidP="00767BC9">
          <w:pPr>
            <w:tabs>
              <w:tab w:val="left" w:pos="1000"/>
              <w:tab w:val="right" w:leader="dot" w:pos="9016"/>
            </w:tabs>
            <w:ind w:left="200"/>
            <w:jc w:val="left"/>
            <w:rPr>
              <w:rFonts w:asciiTheme="minorHAnsi" w:hAnsiTheme="minorHAnsi"/>
              <w:b/>
              <w:bCs/>
              <w:noProof/>
              <w:lang w:eastAsia="ko-KR"/>
            </w:rPr>
          </w:pPr>
          <w:hyperlink w:anchor="_Toc117501960" w:history="1">
            <w:r w:rsidR="00E26782">
              <w:rPr>
                <w:noProof/>
                <w:color w:val="0000FF"/>
              </w:rPr>
              <w:t>1.9</w:t>
            </w:r>
            <w:r w:rsidR="00E26782">
              <w:rPr>
                <w:rFonts w:asciiTheme="minorHAnsi" w:hAnsiTheme="minorHAnsi"/>
                <w:noProof/>
                <w:lang w:eastAsia="ko-KR"/>
              </w:rPr>
              <w:tab/>
            </w:r>
            <w:r w:rsidR="00767BC9" w:rsidRPr="00767BC9">
              <w:rPr>
                <w:noProof/>
                <w:color w:val="0000FF"/>
              </w:rPr>
              <w:t>P</w:t>
            </w:r>
            <w:r w:rsidR="00767BC9" w:rsidRPr="00767BC9">
              <w:rPr>
                <w:noProof/>
                <w:color w:val="0000FF"/>
              </w:rPr>
              <w:t xml:space="preserve">uesta en práctica del GDPFS e interacción con los programas o las </w:t>
            </w:r>
            <w:r w:rsidR="00767BC9">
              <w:rPr>
                <w:noProof/>
                <w:color w:val="0000FF"/>
              </w:rPr>
              <w:br/>
            </w:r>
            <w:r w:rsidR="00767BC9">
              <w:rPr>
                <w:noProof/>
                <w:color w:val="0000FF"/>
              </w:rPr>
              <w:tab/>
            </w:r>
            <w:r w:rsidR="00767BC9" w:rsidRPr="00767BC9">
              <w:rPr>
                <w:noProof/>
                <w:color w:val="0000FF"/>
              </w:rPr>
              <w:t>comisiones técnicas y las asociaciones regionales</w:t>
            </w:r>
            <w:r w:rsidR="00E26782">
              <w:rPr>
                <w:noProof/>
                <w:webHidden/>
              </w:rPr>
              <w:tab/>
            </w:r>
            <w:r w:rsidR="00E26782">
              <w:rPr>
                <w:noProof/>
                <w:webHidden/>
              </w:rPr>
              <w:fldChar w:fldCharType="begin"/>
            </w:r>
            <w:r w:rsidR="00E26782">
              <w:rPr>
                <w:noProof/>
                <w:webHidden/>
              </w:rPr>
              <w:instrText xml:space="preserve"> PAGEREF _Toc117501960 \h </w:instrText>
            </w:r>
            <w:r w:rsidR="00E26782">
              <w:rPr>
                <w:noProof/>
                <w:webHidden/>
              </w:rPr>
            </w:r>
            <w:r w:rsidR="00E26782">
              <w:rPr>
                <w:noProof/>
                <w:webHidden/>
              </w:rPr>
              <w:fldChar w:fldCharType="separate"/>
            </w:r>
            <w:r w:rsidR="00E26782">
              <w:rPr>
                <w:noProof/>
                <w:webHidden/>
              </w:rPr>
              <w:t>2</w:t>
            </w:r>
            <w:r w:rsidR="007B779A">
              <w:rPr>
                <w:noProof/>
                <w:webHidden/>
              </w:rPr>
              <w:t>2</w:t>
            </w:r>
            <w:r w:rsidR="00E26782">
              <w:rPr>
                <w:noProof/>
                <w:webHidden/>
              </w:rPr>
              <w:fldChar w:fldCharType="end"/>
            </w:r>
          </w:hyperlink>
        </w:p>
        <w:p w14:paraId="34C410D5" w14:textId="01CC80DA" w:rsidR="003E5D1B" w:rsidRDefault="0097129E">
          <w:pPr>
            <w:tabs>
              <w:tab w:val="left" w:pos="1200"/>
              <w:tab w:val="right" w:leader="dot" w:pos="9016"/>
            </w:tabs>
            <w:ind w:left="400"/>
            <w:rPr>
              <w:rFonts w:asciiTheme="minorHAnsi" w:hAnsiTheme="minorHAnsi"/>
              <w:noProof/>
              <w:sz w:val="22"/>
              <w:szCs w:val="22"/>
              <w:lang w:eastAsia="ko-KR"/>
            </w:rPr>
          </w:pPr>
          <w:hyperlink w:anchor="_Toc117501961" w:history="1">
            <w:r w:rsidR="00E26782">
              <w:rPr>
                <w:noProof/>
                <w:color w:val="0000FF"/>
              </w:rPr>
              <w:t>1.9.1</w:t>
            </w:r>
            <w:r w:rsidR="00E26782">
              <w:rPr>
                <w:rFonts w:asciiTheme="minorHAnsi" w:hAnsiTheme="minorHAnsi"/>
                <w:noProof/>
                <w:sz w:val="22"/>
                <w:szCs w:val="22"/>
                <w:lang w:eastAsia="ko-KR"/>
              </w:rPr>
              <w:tab/>
            </w:r>
            <w:r w:rsidR="00BA41AA">
              <w:rPr>
                <w:noProof/>
                <w:color w:val="0000FF"/>
              </w:rPr>
              <w:t>El papel de las comisiones técnicas</w:t>
            </w:r>
            <w:r w:rsidR="00E26782">
              <w:rPr>
                <w:noProof/>
                <w:webHidden/>
              </w:rPr>
              <w:tab/>
            </w:r>
            <w:r w:rsidR="00E26782">
              <w:rPr>
                <w:noProof/>
                <w:webHidden/>
              </w:rPr>
              <w:fldChar w:fldCharType="begin"/>
            </w:r>
            <w:r w:rsidR="00E26782">
              <w:rPr>
                <w:noProof/>
                <w:webHidden/>
              </w:rPr>
              <w:instrText xml:space="preserve"> PAGEREF _Toc117501961 \h </w:instrText>
            </w:r>
            <w:r w:rsidR="00E26782">
              <w:rPr>
                <w:noProof/>
                <w:webHidden/>
              </w:rPr>
            </w:r>
            <w:r w:rsidR="00E26782">
              <w:rPr>
                <w:noProof/>
                <w:webHidden/>
              </w:rPr>
              <w:fldChar w:fldCharType="separate"/>
            </w:r>
            <w:r w:rsidR="00E26782">
              <w:rPr>
                <w:noProof/>
                <w:webHidden/>
              </w:rPr>
              <w:t>2</w:t>
            </w:r>
            <w:r w:rsidR="007B779A">
              <w:rPr>
                <w:noProof/>
                <w:webHidden/>
              </w:rPr>
              <w:t>2</w:t>
            </w:r>
            <w:r w:rsidR="00E26782">
              <w:rPr>
                <w:noProof/>
                <w:webHidden/>
              </w:rPr>
              <w:fldChar w:fldCharType="end"/>
            </w:r>
          </w:hyperlink>
        </w:p>
        <w:p w14:paraId="60C6857B" w14:textId="1D18E1F8" w:rsidR="003E5D1B" w:rsidRDefault="0097129E">
          <w:pPr>
            <w:tabs>
              <w:tab w:val="left" w:pos="1200"/>
              <w:tab w:val="right" w:leader="dot" w:pos="9016"/>
            </w:tabs>
            <w:ind w:left="400"/>
            <w:rPr>
              <w:rFonts w:asciiTheme="minorHAnsi" w:hAnsiTheme="minorHAnsi"/>
              <w:noProof/>
              <w:sz w:val="22"/>
              <w:szCs w:val="22"/>
              <w:lang w:eastAsia="ko-KR"/>
            </w:rPr>
          </w:pPr>
          <w:hyperlink w:anchor="_Toc117501962" w:history="1">
            <w:r w:rsidR="00E26782">
              <w:rPr>
                <w:noProof/>
                <w:color w:val="0000FF"/>
              </w:rPr>
              <w:t>1.9.2</w:t>
            </w:r>
            <w:r w:rsidR="00E26782">
              <w:rPr>
                <w:rFonts w:asciiTheme="minorHAnsi" w:hAnsiTheme="minorHAnsi"/>
                <w:noProof/>
                <w:sz w:val="22"/>
                <w:szCs w:val="22"/>
                <w:lang w:eastAsia="ko-KR"/>
              </w:rPr>
              <w:tab/>
            </w:r>
            <w:r w:rsidR="00BA41AA">
              <w:rPr>
                <w:noProof/>
                <w:color w:val="0000FF"/>
              </w:rPr>
              <w:t>El papel de las asociaciones regionales</w:t>
            </w:r>
            <w:r w:rsidR="00E26782">
              <w:rPr>
                <w:noProof/>
                <w:webHidden/>
              </w:rPr>
              <w:tab/>
            </w:r>
            <w:r w:rsidR="00E26782">
              <w:rPr>
                <w:noProof/>
                <w:webHidden/>
              </w:rPr>
              <w:fldChar w:fldCharType="begin"/>
            </w:r>
            <w:r w:rsidR="00E26782">
              <w:rPr>
                <w:noProof/>
                <w:webHidden/>
              </w:rPr>
              <w:instrText xml:space="preserve"> PAGEREF _Toc117501962 \h </w:instrText>
            </w:r>
            <w:r w:rsidR="00E26782">
              <w:rPr>
                <w:noProof/>
                <w:webHidden/>
              </w:rPr>
            </w:r>
            <w:r w:rsidR="00E26782">
              <w:rPr>
                <w:noProof/>
                <w:webHidden/>
              </w:rPr>
              <w:fldChar w:fldCharType="separate"/>
            </w:r>
            <w:r w:rsidR="00E26782">
              <w:rPr>
                <w:noProof/>
                <w:webHidden/>
              </w:rPr>
              <w:t>2</w:t>
            </w:r>
            <w:r w:rsidR="007B779A">
              <w:rPr>
                <w:noProof/>
                <w:webHidden/>
              </w:rPr>
              <w:t>2</w:t>
            </w:r>
            <w:r w:rsidR="00E26782">
              <w:rPr>
                <w:noProof/>
                <w:webHidden/>
              </w:rPr>
              <w:fldChar w:fldCharType="end"/>
            </w:r>
          </w:hyperlink>
        </w:p>
        <w:p w14:paraId="3AFBB22D" w14:textId="79ADB975" w:rsidR="003E5D1B" w:rsidRDefault="0097129E">
          <w:pPr>
            <w:tabs>
              <w:tab w:val="left" w:pos="1000"/>
              <w:tab w:val="right" w:leader="dot" w:pos="9016"/>
            </w:tabs>
            <w:ind w:left="200"/>
            <w:rPr>
              <w:rFonts w:asciiTheme="minorHAnsi" w:hAnsiTheme="minorHAnsi"/>
              <w:b/>
              <w:bCs/>
              <w:noProof/>
              <w:lang w:eastAsia="ko-KR"/>
            </w:rPr>
          </w:pPr>
          <w:hyperlink w:anchor="_Toc117501963" w:history="1">
            <w:r w:rsidR="00E26782">
              <w:rPr>
                <w:noProof/>
                <w:color w:val="0000FF"/>
              </w:rPr>
              <w:t>1.10</w:t>
            </w:r>
            <w:r w:rsidR="00E26782">
              <w:rPr>
                <w:rFonts w:asciiTheme="minorHAnsi" w:hAnsiTheme="minorHAnsi"/>
                <w:noProof/>
                <w:lang w:eastAsia="ko-KR"/>
              </w:rPr>
              <w:tab/>
            </w:r>
            <w:r w:rsidR="00BA41AA">
              <w:rPr>
                <w:noProof/>
                <w:color w:val="0000FF"/>
              </w:rPr>
              <w:t>Resumen de las directrices pertinentes</w:t>
            </w:r>
            <w:r w:rsidR="00E26782">
              <w:rPr>
                <w:noProof/>
                <w:webHidden/>
              </w:rPr>
              <w:tab/>
            </w:r>
            <w:r w:rsidR="00E26782">
              <w:rPr>
                <w:noProof/>
                <w:webHidden/>
              </w:rPr>
              <w:fldChar w:fldCharType="begin"/>
            </w:r>
            <w:r w:rsidR="00E26782">
              <w:rPr>
                <w:noProof/>
                <w:webHidden/>
              </w:rPr>
              <w:instrText xml:space="preserve"> PAGEREF _Toc117501963 \h </w:instrText>
            </w:r>
            <w:r w:rsidR="00E26782">
              <w:rPr>
                <w:noProof/>
                <w:webHidden/>
              </w:rPr>
            </w:r>
            <w:r w:rsidR="00E26782">
              <w:rPr>
                <w:noProof/>
                <w:webHidden/>
              </w:rPr>
              <w:fldChar w:fldCharType="separate"/>
            </w:r>
            <w:r w:rsidR="00E26782">
              <w:rPr>
                <w:noProof/>
                <w:webHidden/>
              </w:rPr>
              <w:t>2</w:t>
            </w:r>
            <w:r w:rsidR="007B779A">
              <w:rPr>
                <w:noProof/>
                <w:webHidden/>
              </w:rPr>
              <w:t>2</w:t>
            </w:r>
            <w:r w:rsidR="00E26782">
              <w:rPr>
                <w:noProof/>
                <w:webHidden/>
              </w:rPr>
              <w:fldChar w:fldCharType="end"/>
            </w:r>
          </w:hyperlink>
        </w:p>
        <w:p w14:paraId="64EF30CD" w14:textId="4D5C9218" w:rsidR="003E5D1B" w:rsidRDefault="0097129E" w:rsidP="00BA41AA">
          <w:pPr>
            <w:tabs>
              <w:tab w:val="right" w:leader="dot" w:pos="9016"/>
            </w:tabs>
            <w:jc w:val="left"/>
            <w:rPr>
              <w:rFonts w:asciiTheme="minorHAnsi" w:hAnsiTheme="minorHAnsi"/>
              <w:b/>
              <w:i/>
              <w:noProof/>
              <w:sz w:val="22"/>
              <w:szCs w:val="22"/>
              <w:lang w:eastAsia="ko-KR"/>
            </w:rPr>
          </w:pPr>
          <w:hyperlink w:anchor="_Toc117501964" w:history="1">
            <w:r w:rsidR="00E26782">
              <w:rPr>
                <w:noProof/>
                <w:color w:val="0000FF"/>
              </w:rPr>
              <w:t>PART</w:t>
            </w:r>
            <w:r w:rsidR="00BA41AA">
              <w:rPr>
                <w:noProof/>
                <w:color w:val="0000FF"/>
              </w:rPr>
              <w:t>E</w:t>
            </w:r>
            <w:r w:rsidR="00E26782">
              <w:rPr>
                <w:noProof/>
                <w:color w:val="0000FF"/>
              </w:rPr>
              <w:t xml:space="preserve"> II.</w:t>
            </w:r>
            <w:r w:rsidR="00BA41AA">
              <w:rPr>
                <w:noProof/>
                <w:color w:val="0000FF"/>
              </w:rPr>
              <w:tab/>
              <w:t>Actividades respaldadas por el Sistema Mundial de Proceso de Datos</w:t>
            </w:r>
            <w:r w:rsidR="00BA41AA">
              <w:rPr>
                <w:noProof/>
                <w:color w:val="0000FF"/>
              </w:rPr>
              <w:br/>
            </w:r>
            <w:r w:rsidR="00BA41AA">
              <w:rPr>
                <w:noProof/>
                <w:color w:val="0000FF"/>
              </w:rPr>
              <w:tab/>
              <w:t>y de Predicción</w:t>
            </w:r>
            <w:r w:rsidR="00E26782">
              <w:rPr>
                <w:noProof/>
                <w:webHidden/>
              </w:rPr>
              <w:tab/>
            </w:r>
            <w:r w:rsidR="00E26782">
              <w:rPr>
                <w:noProof/>
                <w:webHidden/>
              </w:rPr>
              <w:fldChar w:fldCharType="begin"/>
            </w:r>
            <w:r w:rsidR="00E26782">
              <w:rPr>
                <w:noProof/>
                <w:webHidden/>
              </w:rPr>
              <w:instrText xml:space="preserve"> PAGEREF _Toc117501964 \h </w:instrText>
            </w:r>
            <w:r w:rsidR="00E26782">
              <w:rPr>
                <w:noProof/>
                <w:webHidden/>
              </w:rPr>
            </w:r>
            <w:r w:rsidR="00E26782">
              <w:rPr>
                <w:noProof/>
                <w:webHidden/>
              </w:rPr>
              <w:fldChar w:fldCharType="separate"/>
            </w:r>
            <w:r w:rsidR="00E26782">
              <w:rPr>
                <w:noProof/>
                <w:webHidden/>
              </w:rPr>
              <w:t>2</w:t>
            </w:r>
            <w:r w:rsidR="007B779A">
              <w:rPr>
                <w:noProof/>
                <w:webHidden/>
              </w:rPr>
              <w:t>5</w:t>
            </w:r>
            <w:r w:rsidR="00E26782">
              <w:rPr>
                <w:noProof/>
                <w:webHidden/>
              </w:rPr>
              <w:fldChar w:fldCharType="end"/>
            </w:r>
          </w:hyperlink>
        </w:p>
        <w:p w14:paraId="47301B1D" w14:textId="62780307" w:rsidR="003E5D1B" w:rsidRDefault="0097129E">
          <w:pPr>
            <w:tabs>
              <w:tab w:val="left" w:pos="1000"/>
              <w:tab w:val="right" w:leader="dot" w:pos="9016"/>
            </w:tabs>
            <w:ind w:left="200"/>
            <w:rPr>
              <w:rFonts w:asciiTheme="minorHAnsi" w:hAnsiTheme="minorHAnsi"/>
              <w:b/>
              <w:bCs/>
              <w:noProof/>
              <w:lang w:eastAsia="ko-KR"/>
            </w:rPr>
          </w:pPr>
          <w:hyperlink w:anchor="_Toc117501965" w:history="1">
            <w:r w:rsidR="00E26782">
              <w:rPr>
                <w:noProof/>
                <w:color w:val="0000FF"/>
              </w:rPr>
              <w:t>2.1</w:t>
            </w:r>
            <w:r w:rsidR="00E26782">
              <w:rPr>
                <w:rFonts w:asciiTheme="minorHAnsi" w:hAnsiTheme="minorHAnsi"/>
                <w:noProof/>
                <w:lang w:eastAsia="ko-KR"/>
              </w:rPr>
              <w:tab/>
            </w:r>
            <w:r w:rsidR="00BA41AA">
              <w:rPr>
                <w:noProof/>
                <w:color w:val="0000FF"/>
              </w:rPr>
              <w:t>Conside</w:t>
            </w:r>
            <w:r w:rsidR="00BA41AA">
              <w:rPr>
                <w:noProof/>
                <w:color w:val="0000FF"/>
              </w:rPr>
              <w:t>r</w:t>
            </w:r>
            <w:r w:rsidR="00BA41AA">
              <w:rPr>
                <w:noProof/>
                <w:color w:val="0000FF"/>
              </w:rPr>
              <w:t>aciones generales</w:t>
            </w:r>
            <w:r w:rsidR="00E26782">
              <w:rPr>
                <w:noProof/>
                <w:webHidden/>
              </w:rPr>
              <w:tab/>
            </w:r>
            <w:r w:rsidR="00E26782">
              <w:rPr>
                <w:noProof/>
                <w:webHidden/>
              </w:rPr>
              <w:fldChar w:fldCharType="begin"/>
            </w:r>
            <w:r w:rsidR="00E26782">
              <w:rPr>
                <w:noProof/>
                <w:webHidden/>
              </w:rPr>
              <w:instrText xml:space="preserve"> PAGEREF _Toc117501965 \h </w:instrText>
            </w:r>
            <w:r w:rsidR="00E26782">
              <w:rPr>
                <w:noProof/>
                <w:webHidden/>
              </w:rPr>
            </w:r>
            <w:r w:rsidR="00E26782">
              <w:rPr>
                <w:noProof/>
                <w:webHidden/>
              </w:rPr>
              <w:fldChar w:fldCharType="separate"/>
            </w:r>
            <w:r w:rsidR="00E26782">
              <w:rPr>
                <w:noProof/>
                <w:webHidden/>
              </w:rPr>
              <w:t>2</w:t>
            </w:r>
            <w:r w:rsidR="007B779A">
              <w:rPr>
                <w:noProof/>
                <w:webHidden/>
              </w:rPr>
              <w:t>5</w:t>
            </w:r>
            <w:r w:rsidR="00E26782">
              <w:rPr>
                <w:noProof/>
                <w:webHidden/>
              </w:rPr>
              <w:fldChar w:fldCharType="end"/>
            </w:r>
          </w:hyperlink>
        </w:p>
        <w:p w14:paraId="1B8CFDEE" w14:textId="293B8D91" w:rsidR="003E5D1B" w:rsidRDefault="0097129E" w:rsidP="00BA41AA">
          <w:pPr>
            <w:tabs>
              <w:tab w:val="left" w:pos="1000"/>
              <w:tab w:val="right" w:leader="dot" w:pos="9016"/>
            </w:tabs>
            <w:ind w:left="200"/>
            <w:jc w:val="left"/>
            <w:rPr>
              <w:rFonts w:asciiTheme="minorHAnsi" w:hAnsiTheme="minorHAnsi"/>
              <w:b/>
              <w:bCs/>
              <w:noProof/>
              <w:lang w:eastAsia="ko-KR"/>
            </w:rPr>
          </w:pPr>
          <w:hyperlink w:anchor="_Toc117501966" w:history="1">
            <w:r w:rsidR="00E26782">
              <w:rPr>
                <w:noProof/>
                <w:color w:val="0000FF"/>
              </w:rPr>
              <w:t>2.2</w:t>
            </w:r>
            <w:r w:rsidR="00E26782">
              <w:rPr>
                <w:rFonts w:asciiTheme="minorHAnsi" w:hAnsiTheme="minorHAnsi"/>
                <w:noProof/>
                <w:lang w:eastAsia="ko-KR"/>
              </w:rPr>
              <w:tab/>
            </w:r>
            <w:r w:rsidR="00BA41AA">
              <w:rPr>
                <w:noProof/>
                <w:color w:val="0000FF"/>
              </w:rPr>
              <w:t xml:space="preserve">Estructura funcional del Sistema Mundial de Proceso de Datos </w:t>
            </w:r>
            <w:r w:rsidR="00BA41AA">
              <w:rPr>
                <w:noProof/>
                <w:color w:val="0000FF"/>
              </w:rPr>
              <w:br/>
            </w:r>
            <w:r w:rsidR="00BA41AA">
              <w:rPr>
                <w:noProof/>
                <w:color w:val="0000FF"/>
              </w:rPr>
              <w:tab/>
              <w:t>y de Predicción</w:t>
            </w:r>
            <w:r w:rsidR="00E26782">
              <w:rPr>
                <w:noProof/>
                <w:webHidden/>
              </w:rPr>
              <w:tab/>
            </w:r>
            <w:r w:rsidR="00E26782">
              <w:rPr>
                <w:noProof/>
                <w:webHidden/>
              </w:rPr>
              <w:fldChar w:fldCharType="begin"/>
            </w:r>
            <w:r w:rsidR="00E26782">
              <w:rPr>
                <w:noProof/>
                <w:webHidden/>
              </w:rPr>
              <w:instrText xml:space="preserve"> PAGEREF _Toc117501966 \h </w:instrText>
            </w:r>
            <w:r w:rsidR="00E26782">
              <w:rPr>
                <w:noProof/>
                <w:webHidden/>
              </w:rPr>
            </w:r>
            <w:r w:rsidR="00E26782">
              <w:rPr>
                <w:noProof/>
                <w:webHidden/>
              </w:rPr>
              <w:fldChar w:fldCharType="separate"/>
            </w:r>
            <w:r w:rsidR="00E26782">
              <w:rPr>
                <w:noProof/>
                <w:webHidden/>
              </w:rPr>
              <w:t>2</w:t>
            </w:r>
            <w:r w:rsidR="007B779A">
              <w:rPr>
                <w:noProof/>
                <w:webHidden/>
              </w:rPr>
              <w:t>5</w:t>
            </w:r>
            <w:r w:rsidR="00E26782">
              <w:rPr>
                <w:noProof/>
                <w:webHidden/>
              </w:rPr>
              <w:fldChar w:fldCharType="end"/>
            </w:r>
          </w:hyperlink>
        </w:p>
        <w:p w14:paraId="0AF65780" w14:textId="1D924B88" w:rsidR="003E5D1B" w:rsidRDefault="0097129E">
          <w:pPr>
            <w:tabs>
              <w:tab w:val="left" w:pos="1000"/>
              <w:tab w:val="right" w:leader="dot" w:pos="9016"/>
            </w:tabs>
            <w:ind w:left="200"/>
            <w:rPr>
              <w:rFonts w:asciiTheme="minorHAnsi" w:hAnsiTheme="minorHAnsi"/>
              <w:b/>
              <w:bCs/>
              <w:noProof/>
              <w:lang w:eastAsia="ko-KR"/>
            </w:rPr>
          </w:pPr>
          <w:hyperlink w:anchor="_Toc117501967" w:history="1">
            <w:r w:rsidR="00E26782">
              <w:rPr>
                <w:noProof/>
                <w:color w:val="0000FF"/>
              </w:rPr>
              <w:t>2.3</w:t>
            </w:r>
            <w:r w:rsidR="00E26782">
              <w:rPr>
                <w:rFonts w:asciiTheme="minorHAnsi" w:hAnsiTheme="minorHAnsi"/>
                <w:noProof/>
                <w:lang w:eastAsia="ko-KR"/>
              </w:rPr>
              <w:tab/>
            </w:r>
            <w:r w:rsidR="00392BF0">
              <w:rPr>
                <w:noProof/>
                <w:color w:val="0000FF"/>
              </w:rPr>
              <w:t>Función y examen de las actividades respaldadas por el GDPFS</w:t>
            </w:r>
            <w:r w:rsidR="00E26782">
              <w:rPr>
                <w:noProof/>
                <w:webHidden/>
              </w:rPr>
              <w:tab/>
            </w:r>
            <w:r w:rsidR="00E26782">
              <w:rPr>
                <w:noProof/>
                <w:webHidden/>
              </w:rPr>
              <w:fldChar w:fldCharType="begin"/>
            </w:r>
            <w:r w:rsidR="00E26782">
              <w:rPr>
                <w:noProof/>
                <w:webHidden/>
              </w:rPr>
              <w:instrText xml:space="preserve"> PAGEREF _Toc117501967 \h </w:instrText>
            </w:r>
            <w:r w:rsidR="00E26782">
              <w:rPr>
                <w:noProof/>
                <w:webHidden/>
              </w:rPr>
            </w:r>
            <w:r w:rsidR="00E26782">
              <w:rPr>
                <w:noProof/>
                <w:webHidden/>
              </w:rPr>
              <w:fldChar w:fldCharType="separate"/>
            </w:r>
            <w:r w:rsidR="00E26782">
              <w:rPr>
                <w:noProof/>
                <w:webHidden/>
              </w:rPr>
              <w:t>2</w:t>
            </w:r>
            <w:r w:rsidR="007B779A">
              <w:rPr>
                <w:noProof/>
                <w:webHidden/>
              </w:rPr>
              <w:t>5</w:t>
            </w:r>
            <w:r w:rsidR="00E26782">
              <w:rPr>
                <w:noProof/>
                <w:webHidden/>
              </w:rPr>
              <w:fldChar w:fldCharType="end"/>
            </w:r>
          </w:hyperlink>
        </w:p>
        <w:p w14:paraId="27877A48" w14:textId="0EE245B5" w:rsidR="003E5D1B" w:rsidRDefault="0097129E">
          <w:pPr>
            <w:tabs>
              <w:tab w:val="left" w:pos="1200"/>
              <w:tab w:val="right" w:leader="dot" w:pos="9016"/>
            </w:tabs>
            <w:ind w:left="400"/>
            <w:rPr>
              <w:rFonts w:asciiTheme="minorHAnsi" w:hAnsiTheme="minorHAnsi"/>
              <w:noProof/>
              <w:sz w:val="22"/>
              <w:szCs w:val="22"/>
              <w:lang w:eastAsia="ko-KR"/>
            </w:rPr>
          </w:pPr>
          <w:hyperlink w:anchor="_Toc117501968" w:history="1">
            <w:r w:rsidR="00E26782">
              <w:rPr>
                <w:noProof/>
                <w:color w:val="0000FF"/>
              </w:rPr>
              <w:t>2.3.1</w:t>
            </w:r>
            <w:r w:rsidR="00E26782">
              <w:rPr>
                <w:rFonts w:asciiTheme="minorHAnsi" w:hAnsiTheme="minorHAnsi"/>
                <w:noProof/>
                <w:sz w:val="22"/>
                <w:szCs w:val="22"/>
                <w:lang w:eastAsia="ko-KR"/>
              </w:rPr>
              <w:tab/>
            </w:r>
            <w:r w:rsidR="00392BF0">
              <w:rPr>
                <w:noProof/>
                <w:color w:val="0000FF"/>
              </w:rPr>
              <w:t>Actividades de carácter general</w:t>
            </w:r>
            <w:r w:rsidR="00E26782">
              <w:rPr>
                <w:noProof/>
                <w:webHidden/>
              </w:rPr>
              <w:tab/>
            </w:r>
            <w:r w:rsidR="00E26782">
              <w:rPr>
                <w:noProof/>
                <w:webHidden/>
              </w:rPr>
              <w:fldChar w:fldCharType="begin"/>
            </w:r>
            <w:r w:rsidR="00E26782">
              <w:rPr>
                <w:noProof/>
                <w:webHidden/>
              </w:rPr>
              <w:instrText xml:space="preserve"> PAGEREF _Toc117501968 \h </w:instrText>
            </w:r>
            <w:r w:rsidR="00E26782">
              <w:rPr>
                <w:noProof/>
                <w:webHidden/>
              </w:rPr>
            </w:r>
            <w:r w:rsidR="00E26782">
              <w:rPr>
                <w:noProof/>
                <w:webHidden/>
              </w:rPr>
              <w:fldChar w:fldCharType="separate"/>
            </w:r>
            <w:r w:rsidR="00E26782">
              <w:rPr>
                <w:noProof/>
                <w:webHidden/>
              </w:rPr>
              <w:t>2</w:t>
            </w:r>
            <w:r w:rsidR="007B779A">
              <w:rPr>
                <w:noProof/>
                <w:webHidden/>
              </w:rPr>
              <w:t>6</w:t>
            </w:r>
            <w:r w:rsidR="00E26782">
              <w:rPr>
                <w:noProof/>
                <w:webHidden/>
              </w:rPr>
              <w:fldChar w:fldCharType="end"/>
            </w:r>
          </w:hyperlink>
        </w:p>
        <w:p w14:paraId="136AD927" w14:textId="185EC9C8" w:rsidR="003E5D1B" w:rsidRDefault="0097129E">
          <w:pPr>
            <w:tabs>
              <w:tab w:val="left" w:pos="1600"/>
              <w:tab w:val="right" w:leader="dot" w:pos="9016"/>
            </w:tabs>
            <w:ind w:left="660"/>
            <w:rPr>
              <w:rFonts w:asciiTheme="minorHAnsi" w:hAnsiTheme="minorHAnsi"/>
              <w:noProof/>
              <w:sz w:val="22"/>
              <w:szCs w:val="22"/>
              <w:lang w:eastAsia="ko-KR"/>
            </w:rPr>
          </w:pPr>
          <w:hyperlink w:anchor="_Toc117501969" w:history="1">
            <w:r w:rsidR="00E26782">
              <w:rPr>
                <w:noProof/>
                <w:color w:val="0000FF"/>
              </w:rPr>
              <w:t>2.3.1.1</w:t>
            </w:r>
            <w:r w:rsidR="00E26782">
              <w:rPr>
                <w:rFonts w:asciiTheme="minorHAnsi" w:hAnsiTheme="minorHAnsi"/>
                <w:noProof/>
                <w:sz w:val="22"/>
                <w:szCs w:val="22"/>
                <w:lang w:eastAsia="ko-KR"/>
              </w:rPr>
              <w:tab/>
            </w:r>
            <w:r w:rsidR="00392BF0">
              <w:rPr>
                <w:noProof/>
                <w:color w:val="0000FF"/>
              </w:rPr>
              <w:t>Predicción numérica del tiempo determinística a escala mundial</w:t>
            </w:r>
            <w:r w:rsidR="00E26782">
              <w:rPr>
                <w:noProof/>
                <w:webHidden/>
              </w:rPr>
              <w:tab/>
            </w:r>
            <w:r w:rsidR="00E26782">
              <w:rPr>
                <w:noProof/>
                <w:webHidden/>
              </w:rPr>
              <w:fldChar w:fldCharType="begin"/>
            </w:r>
            <w:r w:rsidR="00E26782">
              <w:rPr>
                <w:noProof/>
                <w:webHidden/>
              </w:rPr>
              <w:instrText xml:space="preserve"> PAGEREF _Toc117501969 \h </w:instrText>
            </w:r>
            <w:r w:rsidR="00E26782">
              <w:rPr>
                <w:noProof/>
                <w:webHidden/>
              </w:rPr>
            </w:r>
            <w:r w:rsidR="00E26782">
              <w:rPr>
                <w:noProof/>
                <w:webHidden/>
              </w:rPr>
              <w:fldChar w:fldCharType="separate"/>
            </w:r>
            <w:r w:rsidR="00E26782">
              <w:rPr>
                <w:noProof/>
                <w:webHidden/>
              </w:rPr>
              <w:t>2</w:t>
            </w:r>
            <w:r w:rsidR="007B779A">
              <w:rPr>
                <w:noProof/>
                <w:webHidden/>
              </w:rPr>
              <w:t>6</w:t>
            </w:r>
            <w:r w:rsidR="00E26782">
              <w:rPr>
                <w:noProof/>
                <w:webHidden/>
              </w:rPr>
              <w:fldChar w:fldCharType="end"/>
            </w:r>
          </w:hyperlink>
        </w:p>
        <w:p w14:paraId="05195B1A" w14:textId="3B76F6CC" w:rsidR="003E5D1B" w:rsidRDefault="0097129E">
          <w:pPr>
            <w:tabs>
              <w:tab w:val="left" w:pos="1600"/>
              <w:tab w:val="right" w:leader="dot" w:pos="9016"/>
            </w:tabs>
            <w:ind w:left="660"/>
            <w:rPr>
              <w:rFonts w:asciiTheme="minorHAnsi" w:hAnsiTheme="minorHAnsi"/>
              <w:noProof/>
              <w:sz w:val="22"/>
              <w:szCs w:val="22"/>
              <w:lang w:eastAsia="ko-KR"/>
            </w:rPr>
          </w:pPr>
          <w:hyperlink w:anchor="_Toc117501970" w:history="1">
            <w:r w:rsidR="00E26782">
              <w:rPr>
                <w:noProof/>
                <w:color w:val="0000FF"/>
              </w:rPr>
              <w:t>2.3.1.2</w:t>
            </w:r>
            <w:r w:rsidR="00E26782">
              <w:rPr>
                <w:rFonts w:asciiTheme="minorHAnsi" w:hAnsiTheme="minorHAnsi"/>
                <w:noProof/>
                <w:sz w:val="22"/>
                <w:szCs w:val="22"/>
                <w:lang w:eastAsia="ko-KR"/>
              </w:rPr>
              <w:tab/>
            </w:r>
            <w:r w:rsidR="00392BF0" w:rsidRPr="00392BF0">
              <w:rPr>
                <w:noProof/>
                <w:color w:val="0000FF"/>
              </w:rPr>
              <w:t>Predicción numérica del tiempo determinística de área limitada</w:t>
            </w:r>
            <w:r w:rsidR="00E26782">
              <w:rPr>
                <w:noProof/>
                <w:webHidden/>
              </w:rPr>
              <w:tab/>
            </w:r>
            <w:r w:rsidR="00E26782">
              <w:rPr>
                <w:noProof/>
                <w:webHidden/>
              </w:rPr>
              <w:fldChar w:fldCharType="begin"/>
            </w:r>
            <w:r w:rsidR="00E26782">
              <w:rPr>
                <w:noProof/>
                <w:webHidden/>
              </w:rPr>
              <w:instrText xml:space="preserve"> PAGEREF _Toc117501970 \h </w:instrText>
            </w:r>
            <w:r w:rsidR="00E26782">
              <w:rPr>
                <w:noProof/>
                <w:webHidden/>
              </w:rPr>
            </w:r>
            <w:r w:rsidR="00E26782">
              <w:rPr>
                <w:noProof/>
                <w:webHidden/>
              </w:rPr>
              <w:fldChar w:fldCharType="separate"/>
            </w:r>
            <w:r w:rsidR="00E26782">
              <w:rPr>
                <w:noProof/>
                <w:webHidden/>
              </w:rPr>
              <w:t>2</w:t>
            </w:r>
            <w:r w:rsidR="00E26782">
              <w:rPr>
                <w:noProof/>
                <w:webHidden/>
              </w:rPr>
              <w:fldChar w:fldCharType="end"/>
            </w:r>
          </w:hyperlink>
          <w:r w:rsidR="007B779A">
            <w:rPr>
              <w:noProof/>
            </w:rPr>
            <w:t>7</w:t>
          </w:r>
        </w:p>
        <w:p w14:paraId="38C8B52F" w14:textId="7668E8C7" w:rsidR="003E5D1B" w:rsidRDefault="0097129E">
          <w:pPr>
            <w:tabs>
              <w:tab w:val="left" w:pos="1600"/>
              <w:tab w:val="right" w:leader="dot" w:pos="9016"/>
            </w:tabs>
            <w:ind w:left="660"/>
            <w:rPr>
              <w:rFonts w:asciiTheme="minorHAnsi" w:hAnsiTheme="minorHAnsi"/>
              <w:noProof/>
              <w:sz w:val="22"/>
              <w:szCs w:val="22"/>
              <w:lang w:eastAsia="ko-KR"/>
            </w:rPr>
          </w:pPr>
          <w:hyperlink w:anchor="_Toc117501971" w:history="1">
            <w:r w:rsidR="00E26782">
              <w:rPr>
                <w:noProof/>
                <w:color w:val="0000FF"/>
              </w:rPr>
              <w:t>2.3.1.3</w:t>
            </w:r>
            <w:r w:rsidR="00E26782">
              <w:rPr>
                <w:rFonts w:asciiTheme="minorHAnsi" w:hAnsiTheme="minorHAnsi"/>
                <w:noProof/>
                <w:sz w:val="22"/>
                <w:szCs w:val="22"/>
                <w:lang w:eastAsia="ko-KR"/>
              </w:rPr>
              <w:tab/>
            </w:r>
            <w:r w:rsidR="00F24971" w:rsidRPr="00F24971">
              <w:rPr>
                <w:noProof/>
                <w:color w:val="0000FF"/>
              </w:rPr>
              <w:t>Predicción numérica del tiempo por conjuntos a escala mundial</w:t>
            </w:r>
            <w:r w:rsidR="00E26782">
              <w:rPr>
                <w:noProof/>
                <w:webHidden/>
              </w:rPr>
              <w:tab/>
            </w:r>
            <w:r w:rsidR="00E26782">
              <w:rPr>
                <w:noProof/>
                <w:webHidden/>
              </w:rPr>
              <w:fldChar w:fldCharType="begin"/>
            </w:r>
            <w:r w:rsidR="00E26782">
              <w:rPr>
                <w:noProof/>
                <w:webHidden/>
              </w:rPr>
              <w:instrText xml:space="preserve"> PAGEREF _Toc117501971 \h </w:instrText>
            </w:r>
            <w:r w:rsidR="00E26782">
              <w:rPr>
                <w:noProof/>
                <w:webHidden/>
              </w:rPr>
            </w:r>
            <w:r w:rsidR="00E26782">
              <w:rPr>
                <w:noProof/>
                <w:webHidden/>
              </w:rPr>
              <w:fldChar w:fldCharType="separate"/>
            </w:r>
            <w:r w:rsidR="00E26782">
              <w:rPr>
                <w:noProof/>
                <w:webHidden/>
              </w:rPr>
              <w:t>2</w:t>
            </w:r>
            <w:r w:rsidR="007B779A">
              <w:rPr>
                <w:noProof/>
                <w:webHidden/>
              </w:rPr>
              <w:t>9</w:t>
            </w:r>
            <w:r w:rsidR="00E26782">
              <w:rPr>
                <w:noProof/>
                <w:webHidden/>
              </w:rPr>
              <w:fldChar w:fldCharType="end"/>
            </w:r>
          </w:hyperlink>
        </w:p>
        <w:p w14:paraId="06DBA385" w14:textId="2B5FB54E" w:rsidR="003E5D1B" w:rsidRDefault="0097129E">
          <w:pPr>
            <w:tabs>
              <w:tab w:val="left" w:pos="1600"/>
              <w:tab w:val="right" w:leader="dot" w:pos="9016"/>
            </w:tabs>
            <w:ind w:left="660"/>
            <w:rPr>
              <w:rFonts w:asciiTheme="minorHAnsi" w:hAnsiTheme="minorHAnsi"/>
              <w:noProof/>
              <w:sz w:val="22"/>
              <w:szCs w:val="22"/>
              <w:lang w:eastAsia="ko-KR"/>
            </w:rPr>
          </w:pPr>
          <w:hyperlink w:anchor="_Toc117501972" w:history="1">
            <w:r w:rsidR="00E26782">
              <w:rPr>
                <w:noProof/>
                <w:color w:val="0000FF"/>
              </w:rPr>
              <w:t>2.3.1.4</w:t>
            </w:r>
            <w:r w:rsidR="00E26782">
              <w:rPr>
                <w:rFonts w:asciiTheme="minorHAnsi" w:hAnsiTheme="minorHAnsi"/>
                <w:noProof/>
                <w:sz w:val="22"/>
                <w:szCs w:val="22"/>
                <w:lang w:eastAsia="ko-KR"/>
              </w:rPr>
              <w:tab/>
            </w:r>
            <w:r w:rsidR="00F24971" w:rsidRPr="00F24971">
              <w:rPr>
                <w:noProof/>
                <w:color w:val="0000FF"/>
              </w:rPr>
              <w:t>Predicción numérica del tiempo por conjuntos de área limitada</w:t>
            </w:r>
            <w:r w:rsidR="00E26782">
              <w:rPr>
                <w:noProof/>
                <w:webHidden/>
              </w:rPr>
              <w:tab/>
            </w:r>
            <w:r w:rsidR="007B779A">
              <w:rPr>
                <w:noProof/>
                <w:webHidden/>
              </w:rPr>
              <w:t>31</w:t>
            </w:r>
          </w:hyperlink>
        </w:p>
        <w:p w14:paraId="331CD7D2" w14:textId="6DA78505" w:rsidR="003E5D1B" w:rsidRDefault="0097129E" w:rsidP="00F24971">
          <w:pPr>
            <w:tabs>
              <w:tab w:val="left" w:pos="1600"/>
              <w:tab w:val="right" w:leader="dot" w:pos="9016"/>
            </w:tabs>
            <w:ind w:left="660"/>
            <w:jc w:val="left"/>
            <w:rPr>
              <w:rFonts w:asciiTheme="minorHAnsi" w:hAnsiTheme="minorHAnsi"/>
              <w:noProof/>
              <w:sz w:val="22"/>
              <w:szCs w:val="22"/>
              <w:lang w:eastAsia="ko-KR"/>
            </w:rPr>
          </w:pPr>
          <w:hyperlink w:anchor="_Toc117501973" w:history="1">
            <w:r w:rsidR="00E26782">
              <w:rPr>
                <w:noProof/>
                <w:color w:val="0000FF"/>
              </w:rPr>
              <w:t>2.3.1.5</w:t>
            </w:r>
            <w:r w:rsidR="00E26782">
              <w:rPr>
                <w:rFonts w:asciiTheme="minorHAnsi" w:hAnsiTheme="minorHAnsi"/>
                <w:noProof/>
                <w:sz w:val="22"/>
                <w:szCs w:val="22"/>
                <w:lang w:eastAsia="ko-KR"/>
              </w:rPr>
              <w:tab/>
            </w:r>
            <w:r w:rsidR="00F24971" w:rsidRPr="00F24971">
              <w:rPr>
                <w:noProof/>
                <w:color w:val="0000FF"/>
              </w:rPr>
              <w:t>Predicción numérica subestacional a escala mundial y coordinación</w:t>
            </w:r>
            <w:r w:rsidR="00F24971">
              <w:rPr>
                <w:noProof/>
                <w:color w:val="0000FF"/>
              </w:rPr>
              <w:br/>
            </w:r>
            <w:r w:rsidR="00F24971">
              <w:rPr>
                <w:noProof/>
                <w:color w:val="0000FF"/>
              </w:rPr>
              <w:tab/>
            </w:r>
            <w:r w:rsidR="00F24971" w:rsidRPr="00F24971">
              <w:rPr>
                <w:noProof/>
                <w:color w:val="0000FF"/>
              </w:rPr>
              <w:t>de la predicción subestacional mediante conjuntos multimodelos</w:t>
            </w:r>
            <w:r w:rsidR="00E26782">
              <w:rPr>
                <w:noProof/>
                <w:webHidden/>
              </w:rPr>
              <w:tab/>
            </w:r>
            <w:r w:rsidR="00E26782">
              <w:rPr>
                <w:noProof/>
                <w:webHidden/>
              </w:rPr>
              <w:fldChar w:fldCharType="begin"/>
            </w:r>
            <w:r w:rsidR="00E26782">
              <w:rPr>
                <w:noProof/>
                <w:webHidden/>
              </w:rPr>
              <w:instrText xml:space="preserve"> PAGEREF _Toc117501973 \h </w:instrText>
            </w:r>
            <w:r w:rsidR="00E26782">
              <w:rPr>
                <w:noProof/>
                <w:webHidden/>
              </w:rPr>
            </w:r>
            <w:r w:rsidR="00E26782">
              <w:rPr>
                <w:noProof/>
                <w:webHidden/>
              </w:rPr>
              <w:fldChar w:fldCharType="separate"/>
            </w:r>
            <w:r w:rsidR="00E26782">
              <w:rPr>
                <w:noProof/>
                <w:webHidden/>
              </w:rPr>
              <w:t>3</w:t>
            </w:r>
            <w:r w:rsidR="00915CE4">
              <w:rPr>
                <w:noProof/>
                <w:webHidden/>
              </w:rPr>
              <w:t>3</w:t>
            </w:r>
            <w:r w:rsidR="00E26782">
              <w:rPr>
                <w:noProof/>
                <w:webHidden/>
              </w:rPr>
              <w:fldChar w:fldCharType="end"/>
            </w:r>
          </w:hyperlink>
        </w:p>
        <w:p w14:paraId="74905719" w14:textId="2885311D" w:rsidR="003E5D1B" w:rsidRDefault="0097129E" w:rsidP="00F24971">
          <w:pPr>
            <w:tabs>
              <w:tab w:val="left" w:pos="1600"/>
              <w:tab w:val="right" w:leader="dot" w:pos="9016"/>
            </w:tabs>
            <w:ind w:left="660"/>
            <w:jc w:val="left"/>
            <w:rPr>
              <w:rFonts w:asciiTheme="minorHAnsi" w:hAnsiTheme="minorHAnsi"/>
              <w:noProof/>
              <w:sz w:val="22"/>
              <w:szCs w:val="22"/>
              <w:lang w:eastAsia="ko-KR"/>
            </w:rPr>
          </w:pPr>
          <w:hyperlink w:anchor="_Toc117501974" w:history="1">
            <w:r w:rsidR="00E26782">
              <w:rPr>
                <w:noProof/>
                <w:color w:val="0000FF"/>
              </w:rPr>
              <w:t>2.3.1.6</w:t>
            </w:r>
            <w:r w:rsidR="00E26782">
              <w:rPr>
                <w:rFonts w:asciiTheme="minorHAnsi" w:hAnsiTheme="minorHAnsi"/>
                <w:noProof/>
                <w:sz w:val="22"/>
                <w:szCs w:val="22"/>
                <w:lang w:eastAsia="ko-KR"/>
              </w:rPr>
              <w:tab/>
            </w:r>
            <w:r w:rsidR="00F24971" w:rsidRPr="00F24971">
              <w:rPr>
                <w:noProof/>
                <w:color w:val="0000FF"/>
              </w:rPr>
              <w:t>Predicción numérica a largo plazo a escala mundial y coordinación</w:t>
            </w:r>
            <w:r w:rsidR="00F24971">
              <w:rPr>
                <w:noProof/>
                <w:color w:val="0000FF"/>
              </w:rPr>
              <w:br/>
            </w:r>
            <w:r w:rsidR="00F24971">
              <w:rPr>
                <w:noProof/>
                <w:color w:val="0000FF"/>
              </w:rPr>
              <w:tab/>
            </w:r>
            <w:r w:rsidR="00F24971" w:rsidRPr="00F24971">
              <w:rPr>
                <w:noProof/>
                <w:color w:val="0000FF"/>
              </w:rPr>
              <w:t>de la predicción a largo plazo mediante conjuntos multimodelos</w:t>
            </w:r>
            <w:r w:rsidR="00E26782">
              <w:rPr>
                <w:noProof/>
                <w:webHidden/>
              </w:rPr>
              <w:tab/>
            </w:r>
            <w:r w:rsidR="00E26782">
              <w:rPr>
                <w:noProof/>
                <w:webHidden/>
              </w:rPr>
              <w:fldChar w:fldCharType="begin"/>
            </w:r>
            <w:r w:rsidR="00E26782">
              <w:rPr>
                <w:noProof/>
                <w:webHidden/>
              </w:rPr>
              <w:instrText xml:space="preserve"> PAGEREF _Toc117501974 \h </w:instrText>
            </w:r>
            <w:r w:rsidR="00E26782">
              <w:rPr>
                <w:noProof/>
                <w:webHidden/>
              </w:rPr>
            </w:r>
            <w:r w:rsidR="00E26782">
              <w:rPr>
                <w:noProof/>
                <w:webHidden/>
              </w:rPr>
              <w:fldChar w:fldCharType="separate"/>
            </w:r>
            <w:r w:rsidR="00E26782">
              <w:rPr>
                <w:noProof/>
                <w:webHidden/>
              </w:rPr>
              <w:t>3</w:t>
            </w:r>
            <w:r w:rsidR="00AB4889">
              <w:rPr>
                <w:noProof/>
                <w:webHidden/>
              </w:rPr>
              <w:t>4</w:t>
            </w:r>
            <w:r w:rsidR="00E26782">
              <w:rPr>
                <w:noProof/>
                <w:webHidden/>
              </w:rPr>
              <w:fldChar w:fldCharType="end"/>
            </w:r>
          </w:hyperlink>
        </w:p>
        <w:p w14:paraId="606A42AE" w14:textId="2FF1B54B" w:rsidR="003E5D1B" w:rsidRDefault="0097129E">
          <w:pPr>
            <w:tabs>
              <w:tab w:val="left" w:pos="1600"/>
              <w:tab w:val="right" w:leader="dot" w:pos="9016"/>
            </w:tabs>
            <w:ind w:left="660"/>
            <w:rPr>
              <w:rFonts w:asciiTheme="minorHAnsi" w:hAnsiTheme="minorHAnsi"/>
              <w:noProof/>
              <w:sz w:val="22"/>
              <w:szCs w:val="22"/>
              <w:lang w:eastAsia="ko-KR"/>
            </w:rPr>
          </w:pPr>
          <w:hyperlink w:anchor="_Toc117501975" w:history="1">
            <w:r w:rsidR="00E26782">
              <w:rPr>
                <w:noProof/>
                <w:color w:val="0000FF"/>
              </w:rPr>
              <w:t>2.3.1.7</w:t>
            </w:r>
            <w:r w:rsidR="00E26782">
              <w:rPr>
                <w:rFonts w:asciiTheme="minorHAnsi" w:hAnsiTheme="minorHAnsi"/>
                <w:noProof/>
                <w:sz w:val="22"/>
                <w:szCs w:val="22"/>
                <w:lang w:eastAsia="ko-KR"/>
              </w:rPr>
              <w:tab/>
            </w:r>
            <w:r w:rsidR="00F24971" w:rsidRPr="00F24971">
              <w:rPr>
                <w:noProof/>
                <w:color w:val="0000FF"/>
              </w:rPr>
              <w:t>Predicción climática anual a decenal</w:t>
            </w:r>
            <w:r w:rsidR="00E26782">
              <w:rPr>
                <w:noProof/>
                <w:webHidden/>
              </w:rPr>
              <w:tab/>
            </w:r>
            <w:r w:rsidR="00E26782">
              <w:rPr>
                <w:noProof/>
                <w:webHidden/>
              </w:rPr>
              <w:fldChar w:fldCharType="begin"/>
            </w:r>
            <w:r w:rsidR="00E26782">
              <w:rPr>
                <w:noProof/>
                <w:webHidden/>
              </w:rPr>
              <w:instrText xml:space="preserve"> PAGEREF _Toc117501975 \h </w:instrText>
            </w:r>
            <w:r w:rsidR="00E26782">
              <w:rPr>
                <w:noProof/>
                <w:webHidden/>
              </w:rPr>
            </w:r>
            <w:r w:rsidR="00E26782">
              <w:rPr>
                <w:noProof/>
                <w:webHidden/>
              </w:rPr>
              <w:fldChar w:fldCharType="separate"/>
            </w:r>
            <w:r w:rsidR="00E26782">
              <w:rPr>
                <w:noProof/>
                <w:webHidden/>
              </w:rPr>
              <w:t>3</w:t>
            </w:r>
            <w:r w:rsidR="00AB4889">
              <w:rPr>
                <w:noProof/>
                <w:webHidden/>
              </w:rPr>
              <w:t>6</w:t>
            </w:r>
            <w:r w:rsidR="00E26782">
              <w:rPr>
                <w:noProof/>
                <w:webHidden/>
              </w:rPr>
              <w:fldChar w:fldCharType="end"/>
            </w:r>
          </w:hyperlink>
        </w:p>
        <w:p w14:paraId="678CFCED" w14:textId="26E229D7" w:rsidR="003E5D1B" w:rsidRDefault="0097129E">
          <w:pPr>
            <w:tabs>
              <w:tab w:val="left" w:pos="1600"/>
              <w:tab w:val="right" w:leader="dot" w:pos="9016"/>
            </w:tabs>
            <w:ind w:left="660"/>
            <w:rPr>
              <w:rFonts w:asciiTheme="minorHAnsi" w:hAnsiTheme="minorHAnsi"/>
              <w:noProof/>
              <w:sz w:val="22"/>
              <w:szCs w:val="22"/>
              <w:lang w:eastAsia="ko-KR"/>
            </w:rPr>
          </w:pPr>
          <w:hyperlink w:anchor="_Toc117501976" w:history="1">
            <w:r w:rsidR="00E26782">
              <w:rPr>
                <w:noProof/>
                <w:color w:val="0000FF"/>
              </w:rPr>
              <w:t>2.3.1.8</w:t>
            </w:r>
            <w:r w:rsidR="00E26782">
              <w:rPr>
                <w:rFonts w:asciiTheme="minorHAnsi" w:hAnsiTheme="minorHAnsi"/>
                <w:noProof/>
                <w:sz w:val="22"/>
                <w:szCs w:val="22"/>
                <w:lang w:eastAsia="ko-KR"/>
              </w:rPr>
              <w:tab/>
            </w:r>
            <w:r w:rsidR="00F24971" w:rsidRPr="00F24971">
              <w:rPr>
                <w:noProof/>
                <w:color w:val="0000FF"/>
              </w:rPr>
              <w:t>Predicción numérica de olas oceánicas</w:t>
            </w:r>
            <w:r w:rsidR="00E26782">
              <w:rPr>
                <w:noProof/>
                <w:webHidden/>
              </w:rPr>
              <w:tab/>
            </w:r>
            <w:r w:rsidR="00E26782">
              <w:rPr>
                <w:noProof/>
                <w:webHidden/>
              </w:rPr>
              <w:fldChar w:fldCharType="begin"/>
            </w:r>
            <w:r w:rsidR="00E26782">
              <w:rPr>
                <w:noProof/>
                <w:webHidden/>
              </w:rPr>
              <w:instrText xml:space="preserve"> PAGEREF _Toc117501976 \h </w:instrText>
            </w:r>
            <w:r w:rsidR="00E26782">
              <w:rPr>
                <w:noProof/>
                <w:webHidden/>
              </w:rPr>
            </w:r>
            <w:r w:rsidR="00E26782">
              <w:rPr>
                <w:noProof/>
                <w:webHidden/>
              </w:rPr>
              <w:fldChar w:fldCharType="separate"/>
            </w:r>
            <w:r w:rsidR="00E26782">
              <w:rPr>
                <w:noProof/>
                <w:webHidden/>
              </w:rPr>
              <w:t>3</w:t>
            </w:r>
            <w:r w:rsidR="00AB4889">
              <w:rPr>
                <w:noProof/>
                <w:webHidden/>
              </w:rPr>
              <w:t>8</w:t>
            </w:r>
            <w:r w:rsidR="00E26782">
              <w:rPr>
                <w:noProof/>
                <w:webHidden/>
              </w:rPr>
              <w:fldChar w:fldCharType="end"/>
            </w:r>
          </w:hyperlink>
        </w:p>
        <w:p w14:paraId="26D009A2" w14:textId="4DB65518" w:rsidR="003E5D1B" w:rsidRDefault="0097129E">
          <w:pPr>
            <w:tabs>
              <w:tab w:val="left" w:pos="1600"/>
              <w:tab w:val="right" w:leader="dot" w:pos="9016"/>
            </w:tabs>
            <w:ind w:left="660"/>
            <w:rPr>
              <w:rFonts w:asciiTheme="minorHAnsi" w:hAnsiTheme="minorHAnsi"/>
              <w:noProof/>
              <w:sz w:val="22"/>
              <w:szCs w:val="22"/>
              <w:lang w:eastAsia="ko-KR"/>
            </w:rPr>
          </w:pPr>
          <w:hyperlink w:anchor="_Toc117501977" w:history="1">
            <w:r w:rsidR="00E26782">
              <w:rPr>
                <w:noProof/>
                <w:color w:val="0000FF"/>
              </w:rPr>
              <w:t>2.3.1.9</w:t>
            </w:r>
            <w:r w:rsidR="00E26782">
              <w:rPr>
                <w:rFonts w:asciiTheme="minorHAnsi" w:hAnsiTheme="minorHAnsi"/>
                <w:noProof/>
                <w:sz w:val="22"/>
                <w:szCs w:val="22"/>
                <w:lang w:eastAsia="ko-KR"/>
              </w:rPr>
              <w:tab/>
            </w:r>
            <w:r w:rsidR="00F24971" w:rsidRPr="00F24971">
              <w:rPr>
                <w:noProof/>
                <w:color w:val="0000FF"/>
              </w:rPr>
              <w:t>Predicción numérica oceánica a escala mundial</w:t>
            </w:r>
            <w:r w:rsidR="00E26782">
              <w:rPr>
                <w:noProof/>
                <w:webHidden/>
              </w:rPr>
              <w:tab/>
            </w:r>
            <w:r w:rsidR="00AB4889">
              <w:rPr>
                <w:noProof/>
                <w:webHidden/>
              </w:rPr>
              <w:t>40</w:t>
            </w:r>
          </w:hyperlink>
        </w:p>
        <w:p w14:paraId="160E5728" w14:textId="0CCA7837" w:rsidR="003E5D1B" w:rsidRDefault="0097129E">
          <w:pPr>
            <w:tabs>
              <w:tab w:val="left" w:pos="1674"/>
              <w:tab w:val="right" w:leader="dot" w:pos="9016"/>
            </w:tabs>
            <w:ind w:left="660"/>
            <w:rPr>
              <w:rFonts w:asciiTheme="minorHAnsi" w:hAnsiTheme="minorHAnsi"/>
              <w:noProof/>
              <w:sz w:val="22"/>
              <w:szCs w:val="22"/>
              <w:lang w:eastAsia="ko-KR"/>
            </w:rPr>
          </w:pPr>
          <w:hyperlink w:anchor="_Toc117501978" w:history="1">
            <w:r w:rsidR="00E26782">
              <w:rPr>
                <w:noProof/>
                <w:color w:val="0000FF"/>
              </w:rPr>
              <w:t>2.3.1.10</w:t>
            </w:r>
            <w:r w:rsidR="00E26782">
              <w:rPr>
                <w:rFonts w:asciiTheme="minorHAnsi" w:hAnsiTheme="minorHAnsi"/>
                <w:noProof/>
                <w:sz w:val="22"/>
                <w:szCs w:val="22"/>
                <w:lang w:eastAsia="ko-KR"/>
              </w:rPr>
              <w:tab/>
            </w:r>
            <w:r w:rsidR="00F24971">
              <w:rPr>
                <w:noProof/>
                <w:color w:val="0000FF"/>
              </w:rPr>
              <w:t>Predicción inmediata</w:t>
            </w:r>
            <w:r w:rsidR="00E26782">
              <w:rPr>
                <w:noProof/>
                <w:webHidden/>
              </w:rPr>
              <w:tab/>
            </w:r>
            <w:r w:rsidR="00ED68F4">
              <w:rPr>
                <w:noProof/>
                <w:webHidden/>
              </w:rPr>
              <w:t>41</w:t>
            </w:r>
          </w:hyperlink>
        </w:p>
        <w:p w14:paraId="3F326210" w14:textId="11512D53" w:rsidR="003E5D1B" w:rsidRDefault="0097129E">
          <w:pPr>
            <w:tabs>
              <w:tab w:val="left" w:pos="1200"/>
              <w:tab w:val="right" w:leader="dot" w:pos="9016"/>
            </w:tabs>
            <w:ind w:left="400"/>
            <w:rPr>
              <w:rFonts w:asciiTheme="minorHAnsi" w:hAnsiTheme="minorHAnsi"/>
              <w:noProof/>
              <w:sz w:val="22"/>
              <w:szCs w:val="22"/>
              <w:lang w:eastAsia="ko-KR"/>
            </w:rPr>
          </w:pPr>
          <w:hyperlink w:anchor="_Toc117501979" w:history="1">
            <w:r w:rsidR="00E26782">
              <w:rPr>
                <w:noProof/>
                <w:color w:val="0000FF"/>
              </w:rPr>
              <w:t>2.3.2</w:t>
            </w:r>
            <w:r w:rsidR="00E26782">
              <w:rPr>
                <w:rFonts w:asciiTheme="minorHAnsi" w:hAnsiTheme="minorHAnsi"/>
                <w:noProof/>
                <w:sz w:val="22"/>
                <w:szCs w:val="22"/>
                <w:lang w:eastAsia="ko-KR"/>
              </w:rPr>
              <w:tab/>
            </w:r>
            <w:r w:rsidR="00F24971">
              <w:rPr>
                <w:noProof/>
                <w:color w:val="0000FF"/>
              </w:rPr>
              <w:t>Actividades especializadas</w:t>
            </w:r>
            <w:r w:rsidR="00E26782">
              <w:rPr>
                <w:noProof/>
                <w:webHidden/>
              </w:rPr>
              <w:tab/>
            </w:r>
            <w:r w:rsidR="00ED68F4">
              <w:rPr>
                <w:noProof/>
                <w:webHidden/>
              </w:rPr>
              <w:t>43</w:t>
            </w:r>
          </w:hyperlink>
        </w:p>
        <w:p w14:paraId="0AE8D310" w14:textId="48DB393F" w:rsidR="003E5D1B" w:rsidRDefault="0097129E">
          <w:pPr>
            <w:tabs>
              <w:tab w:val="right" w:leader="dot" w:pos="9016"/>
            </w:tabs>
            <w:ind w:left="660"/>
            <w:rPr>
              <w:rFonts w:asciiTheme="minorHAnsi" w:hAnsiTheme="minorHAnsi"/>
              <w:noProof/>
              <w:sz w:val="22"/>
              <w:szCs w:val="22"/>
              <w:lang w:eastAsia="ko-KR"/>
            </w:rPr>
          </w:pPr>
          <w:hyperlink w:anchor="_Toc117501980" w:history="1">
            <w:r w:rsidR="00E26782">
              <w:rPr>
                <w:noProof/>
                <w:color w:val="0000FF"/>
              </w:rPr>
              <w:t xml:space="preserve">2.3.2.1 </w:t>
            </w:r>
            <w:r w:rsidR="00F24971">
              <w:rPr>
                <w:noProof/>
                <w:color w:val="0000FF"/>
              </w:rPr>
              <w:t>Predicción y monitoreo del clima a escala regional</w:t>
            </w:r>
            <w:r w:rsidR="00E26782">
              <w:rPr>
                <w:noProof/>
                <w:webHidden/>
              </w:rPr>
              <w:tab/>
            </w:r>
            <w:r w:rsidR="00ED68F4">
              <w:rPr>
                <w:noProof/>
                <w:webHidden/>
              </w:rPr>
              <w:t>4</w:t>
            </w:r>
            <w:r w:rsidR="00E26782">
              <w:rPr>
                <w:noProof/>
                <w:webHidden/>
              </w:rPr>
              <w:fldChar w:fldCharType="begin"/>
            </w:r>
            <w:r w:rsidR="00E26782">
              <w:rPr>
                <w:noProof/>
                <w:webHidden/>
              </w:rPr>
              <w:instrText xml:space="preserve"> PAGEREF _Toc117501980 \h </w:instrText>
            </w:r>
            <w:r w:rsidR="00E26782">
              <w:rPr>
                <w:noProof/>
                <w:webHidden/>
              </w:rPr>
            </w:r>
            <w:r w:rsidR="00E26782">
              <w:rPr>
                <w:noProof/>
                <w:webHidden/>
              </w:rPr>
              <w:fldChar w:fldCharType="separate"/>
            </w:r>
            <w:r w:rsidR="00E26782">
              <w:rPr>
                <w:noProof/>
                <w:webHidden/>
              </w:rPr>
              <w:t>3</w:t>
            </w:r>
            <w:r w:rsidR="00E26782">
              <w:rPr>
                <w:noProof/>
                <w:webHidden/>
              </w:rPr>
              <w:fldChar w:fldCharType="end"/>
            </w:r>
          </w:hyperlink>
        </w:p>
        <w:p w14:paraId="20F5B8B9" w14:textId="7F2EEE82" w:rsidR="003E5D1B" w:rsidRDefault="0097129E" w:rsidP="00F24971">
          <w:pPr>
            <w:tabs>
              <w:tab w:val="right" w:leader="dot" w:pos="9016"/>
            </w:tabs>
            <w:ind w:left="660"/>
            <w:jc w:val="left"/>
            <w:rPr>
              <w:rFonts w:asciiTheme="minorHAnsi" w:hAnsiTheme="minorHAnsi"/>
              <w:noProof/>
              <w:sz w:val="22"/>
              <w:szCs w:val="22"/>
              <w:lang w:eastAsia="ko-KR"/>
            </w:rPr>
          </w:pPr>
          <w:hyperlink w:anchor="_Toc117501981" w:history="1">
            <w:r w:rsidR="00E26782">
              <w:rPr>
                <w:noProof/>
                <w:color w:val="0000FF"/>
              </w:rPr>
              <w:t xml:space="preserve">2.3.2.2 </w:t>
            </w:r>
            <w:r w:rsidR="00F24971" w:rsidRPr="00F24971">
              <w:rPr>
                <w:noProof/>
                <w:color w:val="0000FF"/>
              </w:rPr>
              <w:t>Coordinación de la predicción subestacional mediante conjuntos</w:t>
            </w:r>
            <w:r w:rsidR="00F24971">
              <w:rPr>
                <w:noProof/>
                <w:color w:val="0000FF"/>
              </w:rPr>
              <w:br/>
            </w:r>
            <w:r w:rsidR="00F24971">
              <w:rPr>
                <w:noProof/>
                <w:color w:val="0000FF"/>
              </w:rPr>
              <w:tab/>
            </w:r>
            <w:r w:rsidR="00F24971" w:rsidRPr="00F24971">
              <w:rPr>
                <w:noProof/>
                <w:color w:val="0000FF"/>
              </w:rPr>
              <w:t>multimodelos</w:t>
            </w:r>
            <w:r w:rsidR="00E26782">
              <w:rPr>
                <w:noProof/>
                <w:webHidden/>
              </w:rPr>
              <w:tab/>
            </w:r>
            <w:r w:rsidR="00E26782">
              <w:rPr>
                <w:noProof/>
                <w:webHidden/>
              </w:rPr>
              <w:fldChar w:fldCharType="begin"/>
            </w:r>
            <w:r w:rsidR="00E26782">
              <w:rPr>
                <w:noProof/>
                <w:webHidden/>
              </w:rPr>
              <w:instrText xml:space="preserve"> PAGEREF _Toc117501981 \h </w:instrText>
            </w:r>
            <w:r w:rsidR="00E26782">
              <w:rPr>
                <w:noProof/>
                <w:webHidden/>
              </w:rPr>
            </w:r>
            <w:r w:rsidR="00E26782">
              <w:rPr>
                <w:noProof/>
                <w:webHidden/>
              </w:rPr>
              <w:fldChar w:fldCharType="separate"/>
            </w:r>
            <w:r w:rsidR="00E26782">
              <w:rPr>
                <w:noProof/>
                <w:webHidden/>
              </w:rPr>
              <w:t>4</w:t>
            </w:r>
            <w:r w:rsidR="00BB3348">
              <w:rPr>
                <w:noProof/>
                <w:webHidden/>
              </w:rPr>
              <w:t>7</w:t>
            </w:r>
            <w:r w:rsidR="00E26782">
              <w:rPr>
                <w:noProof/>
                <w:webHidden/>
              </w:rPr>
              <w:fldChar w:fldCharType="end"/>
            </w:r>
          </w:hyperlink>
        </w:p>
        <w:p w14:paraId="0DBC559F" w14:textId="58C6DCA5" w:rsidR="003E5D1B" w:rsidRDefault="0097129E" w:rsidP="00F24971">
          <w:pPr>
            <w:tabs>
              <w:tab w:val="right" w:leader="dot" w:pos="9016"/>
            </w:tabs>
            <w:ind w:left="660"/>
            <w:jc w:val="left"/>
            <w:rPr>
              <w:rFonts w:asciiTheme="minorHAnsi" w:hAnsiTheme="minorHAnsi"/>
              <w:noProof/>
              <w:sz w:val="22"/>
              <w:szCs w:val="22"/>
              <w:lang w:eastAsia="ko-KR"/>
            </w:rPr>
          </w:pPr>
          <w:hyperlink w:anchor="_Toc117501982" w:history="1">
            <w:r w:rsidR="00E26782">
              <w:rPr>
                <w:noProof/>
                <w:color w:val="0000FF"/>
              </w:rPr>
              <w:t xml:space="preserve">2.3.2.3 </w:t>
            </w:r>
            <w:r w:rsidR="00F24971" w:rsidRPr="00F24971">
              <w:rPr>
                <w:noProof/>
                <w:color w:val="0000FF"/>
              </w:rPr>
              <w:t>Coordinación de la predicción a largo plazo mediante conjuntos</w:t>
            </w:r>
            <w:r w:rsidR="00F24971">
              <w:rPr>
                <w:noProof/>
                <w:color w:val="0000FF"/>
              </w:rPr>
              <w:br/>
            </w:r>
            <w:r w:rsidR="00F24971">
              <w:rPr>
                <w:noProof/>
                <w:color w:val="0000FF"/>
              </w:rPr>
              <w:tab/>
            </w:r>
            <w:r w:rsidR="00F24971" w:rsidRPr="00F24971">
              <w:rPr>
                <w:noProof/>
                <w:color w:val="0000FF"/>
              </w:rPr>
              <w:t>multimodelos</w:t>
            </w:r>
            <w:r w:rsidR="00E26782">
              <w:rPr>
                <w:noProof/>
                <w:webHidden/>
              </w:rPr>
              <w:tab/>
            </w:r>
            <w:r w:rsidR="00E26782">
              <w:rPr>
                <w:noProof/>
                <w:webHidden/>
              </w:rPr>
              <w:fldChar w:fldCharType="begin"/>
            </w:r>
            <w:r w:rsidR="00E26782">
              <w:rPr>
                <w:noProof/>
                <w:webHidden/>
              </w:rPr>
              <w:instrText xml:space="preserve"> PAGEREF _Toc117501982 \h </w:instrText>
            </w:r>
            <w:r w:rsidR="00E26782">
              <w:rPr>
                <w:noProof/>
                <w:webHidden/>
              </w:rPr>
            </w:r>
            <w:r w:rsidR="00E26782">
              <w:rPr>
                <w:noProof/>
                <w:webHidden/>
              </w:rPr>
              <w:fldChar w:fldCharType="separate"/>
            </w:r>
            <w:r w:rsidR="00E26782">
              <w:rPr>
                <w:noProof/>
                <w:webHidden/>
              </w:rPr>
              <w:t>4</w:t>
            </w:r>
            <w:r w:rsidR="00BB3348">
              <w:rPr>
                <w:noProof/>
                <w:webHidden/>
              </w:rPr>
              <w:t>7</w:t>
            </w:r>
            <w:r w:rsidR="00E26782">
              <w:rPr>
                <w:noProof/>
                <w:webHidden/>
              </w:rPr>
              <w:fldChar w:fldCharType="end"/>
            </w:r>
          </w:hyperlink>
        </w:p>
        <w:p w14:paraId="0D2D6206" w14:textId="35937D6C" w:rsidR="003E5D1B" w:rsidRDefault="0097129E" w:rsidP="00F24971">
          <w:pPr>
            <w:tabs>
              <w:tab w:val="right" w:leader="dot" w:pos="9016"/>
            </w:tabs>
            <w:ind w:left="660"/>
            <w:jc w:val="left"/>
            <w:rPr>
              <w:rFonts w:asciiTheme="minorHAnsi" w:hAnsiTheme="minorHAnsi"/>
              <w:noProof/>
              <w:sz w:val="22"/>
              <w:szCs w:val="22"/>
              <w:lang w:eastAsia="ko-KR"/>
            </w:rPr>
          </w:pPr>
          <w:hyperlink w:anchor="_Toc117501983" w:history="1">
            <w:r w:rsidR="00E26782">
              <w:rPr>
                <w:noProof/>
                <w:color w:val="0000FF"/>
              </w:rPr>
              <w:t xml:space="preserve">2.3.2.4 </w:t>
            </w:r>
            <w:r w:rsidR="00F24971" w:rsidRPr="00F24971">
              <w:rPr>
                <w:noProof/>
                <w:color w:val="0000FF"/>
              </w:rPr>
              <w:t>Coordinación de la predicción anual a decenal mediante conjuntos</w:t>
            </w:r>
            <w:r w:rsidR="00F24971">
              <w:rPr>
                <w:noProof/>
                <w:color w:val="0000FF"/>
              </w:rPr>
              <w:br/>
            </w:r>
            <w:r w:rsidR="00F24971">
              <w:rPr>
                <w:noProof/>
                <w:color w:val="0000FF"/>
              </w:rPr>
              <w:tab/>
            </w:r>
            <w:r w:rsidR="00F24971" w:rsidRPr="00F24971">
              <w:rPr>
                <w:noProof/>
                <w:color w:val="0000FF"/>
              </w:rPr>
              <w:t>multimodelos</w:t>
            </w:r>
            <w:r w:rsidR="00F24971" w:rsidRPr="00F24971">
              <w:rPr>
                <w:noProof/>
                <w:color w:val="0000FF"/>
              </w:rPr>
              <w:t xml:space="preserve"> </w:t>
            </w:r>
            <w:r w:rsidR="00E26782">
              <w:rPr>
                <w:noProof/>
                <w:webHidden/>
              </w:rPr>
              <w:tab/>
            </w:r>
            <w:r w:rsidR="00E26782">
              <w:rPr>
                <w:noProof/>
                <w:webHidden/>
              </w:rPr>
              <w:fldChar w:fldCharType="begin"/>
            </w:r>
            <w:r w:rsidR="00E26782">
              <w:rPr>
                <w:noProof/>
                <w:webHidden/>
              </w:rPr>
              <w:instrText xml:space="preserve"> PAGEREF _Toc117501983 \h </w:instrText>
            </w:r>
            <w:r w:rsidR="00E26782">
              <w:rPr>
                <w:noProof/>
                <w:webHidden/>
              </w:rPr>
            </w:r>
            <w:r w:rsidR="00E26782">
              <w:rPr>
                <w:noProof/>
                <w:webHidden/>
              </w:rPr>
              <w:fldChar w:fldCharType="separate"/>
            </w:r>
            <w:r w:rsidR="00E26782">
              <w:rPr>
                <w:noProof/>
                <w:webHidden/>
              </w:rPr>
              <w:t>4</w:t>
            </w:r>
            <w:r w:rsidR="00BB3348">
              <w:rPr>
                <w:noProof/>
                <w:webHidden/>
              </w:rPr>
              <w:t>7</w:t>
            </w:r>
            <w:r w:rsidR="00E26782">
              <w:rPr>
                <w:noProof/>
                <w:webHidden/>
              </w:rPr>
              <w:fldChar w:fldCharType="end"/>
            </w:r>
          </w:hyperlink>
        </w:p>
        <w:p w14:paraId="21162891" w14:textId="79BD8372" w:rsidR="003E5D1B" w:rsidRDefault="0097129E">
          <w:pPr>
            <w:tabs>
              <w:tab w:val="right" w:leader="dot" w:pos="9016"/>
            </w:tabs>
            <w:ind w:left="660"/>
            <w:rPr>
              <w:rFonts w:asciiTheme="minorHAnsi" w:hAnsiTheme="minorHAnsi"/>
              <w:noProof/>
              <w:sz w:val="22"/>
              <w:szCs w:val="22"/>
              <w:lang w:eastAsia="ko-KR"/>
            </w:rPr>
          </w:pPr>
          <w:hyperlink w:anchor="_Toc117501984" w:history="1">
            <w:r w:rsidR="00E26782">
              <w:rPr>
                <w:noProof/>
                <w:color w:val="0000FF"/>
              </w:rPr>
              <w:t xml:space="preserve">2.3.2.5 </w:t>
            </w:r>
            <w:r w:rsidR="00577448" w:rsidRPr="00577448">
              <w:rPr>
                <w:noProof/>
                <w:color w:val="0000FF"/>
              </w:rPr>
              <w:t>Predicción de fenómenos meteorológicos adversos a escala regional</w:t>
            </w:r>
            <w:r w:rsidR="00E26782">
              <w:rPr>
                <w:noProof/>
                <w:webHidden/>
              </w:rPr>
              <w:tab/>
            </w:r>
            <w:r w:rsidR="00E26782">
              <w:rPr>
                <w:noProof/>
                <w:webHidden/>
              </w:rPr>
              <w:fldChar w:fldCharType="begin"/>
            </w:r>
            <w:r w:rsidR="00E26782">
              <w:rPr>
                <w:noProof/>
                <w:webHidden/>
              </w:rPr>
              <w:instrText xml:space="preserve"> PAGEREF _Toc117501984 \h </w:instrText>
            </w:r>
            <w:r w:rsidR="00E26782">
              <w:rPr>
                <w:noProof/>
                <w:webHidden/>
              </w:rPr>
            </w:r>
            <w:r w:rsidR="00E26782">
              <w:rPr>
                <w:noProof/>
                <w:webHidden/>
              </w:rPr>
              <w:fldChar w:fldCharType="separate"/>
            </w:r>
            <w:r w:rsidR="00E26782">
              <w:rPr>
                <w:noProof/>
                <w:webHidden/>
              </w:rPr>
              <w:t>4</w:t>
            </w:r>
            <w:r w:rsidR="00BB3348">
              <w:rPr>
                <w:noProof/>
                <w:webHidden/>
              </w:rPr>
              <w:t>7</w:t>
            </w:r>
            <w:r w:rsidR="00E26782">
              <w:rPr>
                <w:noProof/>
                <w:webHidden/>
              </w:rPr>
              <w:fldChar w:fldCharType="end"/>
            </w:r>
          </w:hyperlink>
        </w:p>
        <w:p w14:paraId="6A1F18D7" w14:textId="33847A1E" w:rsidR="003E5D1B" w:rsidRDefault="0097129E" w:rsidP="00554E4D">
          <w:pPr>
            <w:tabs>
              <w:tab w:val="right" w:leader="dot" w:pos="9016"/>
            </w:tabs>
            <w:ind w:left="660"/>
            <w:jc w:val="left"/>
            <w:rPr>
              <w:rFonts w:asciiTheme="minorHAnsi" w:hAnsiTheme="minorHAnsi"/>
              <w:noProof/>
              <w:sz w:val="22"/>
              <w:szCs w:val="22"/>
              <w:lang w:eastAsia="ko-KR"/>
            </w:rPr>
          </w:pPr>
          <w:hyperlink w:anchor="_Toc117501985" w:history="1">
            <w:r w:rsidR="00E26782">
              <w:rPr>
                <w:noProof/>
                <w:color w:val="0000FF"/>
              </w:rPr>
              <w:t xml:space="preserve">2.3.2.6 </w:t>
            </w:r>
            <w:r w:rsidR="00554E4D" w:rsidRPr="00554E4D">
              <w:rPr>
                <w:noProof/>
                <w:color w:val="0000FF"/>
              </w:rPr>
              <w:t>Predicción de ciclones tropicales, incluidos los peligros relacionados</w:t>
            </w:r>
            <w:r w:rsidR="00554E4D">
              <w:rPr>
                <w:noProof/>
                <w:color w:val="0000FF"/>
              </w:rPr>
              <w:br/>
            </w:r>
            <w:r w:rsidR="00554E4D">
              <w:rPr>
                <w:noProof/>
                <w:color w:val="0000FF"/>
              </w:rPr>
              <w:tab/>
            </w:r>
            <w:r w:rsidR="00554E4D" w:rsidRPr="00554E4D">
              <w:rPr>
                <w:noProof/>
                <w:color w:val="0000FF"/>
              </w:rPr>
              <w:t>con el mar</w:t>
            </w:r>
            <w:r w:rsidR="00E26782">
              <w:rPr>
                <w:noProof/>
                <w:webHidden/>
              </w:rPr>
              <w:tab/>
            </w:r>
            <w:r w:rsidR="00D317D2">
              <w:rPr>
                <w:noProof/>
                <w:webHidden/>
              </w:rPr>
              <w:t>50</w:t>
            </w:r>
          </w:hyperlink>
        </w:p>
        <w:p w14:paraId="4608EBF6" w14:textId="1F7B2A41" w:rsidR="003E5D1B" w:rsidRDefault="0097129E" w:rsidP="00FA178A">
          <w:pPr>
            <w:tabs>
              <w:tab w:val="right" w:leader="dot" w:pos="9016"/>
            </w:tabs>
            <w:ind w:left="660"/>
            <w:jc w:val="left"/>
            <w:rPr>
              <w:rFonts w:asciiTheme="minorHAnsi" w:hAnsiTheme="minorHAnsi"/>
              <w:noProof/>
              <w:sz w:val="22"/>
              <w:szCs w:val="22"/>
              <w:lang w:eastAsia="ko-KR"/>
            </w:rPr>
          </w:pPr>
          <w:hyperlink w:anchor="_Toc117501986" w:history="1">
            <w:r w:rsidR="00E26782">
              <w:rPr>
                <w:noProof/>
                <w:color w:val="0000FF"/>
              </w:rPr>
              <w:t xml:space="preserve">2.3.2.7 </w:t>
            </w:r>
            <w:r w:rsidR="00FA178A" w:rsidRPr="00FA178A">
              <w:rPr>
                <w:noProof/>
                <w:color w:val="0000FF"/>
              </w:rPr>
              <w:t>Respuesta en casos de emergencia medioambiental por accidente</w:t>
            </w:r>
            <w:r w:rsidR="00FA178A">
              <w:rPr>
                <w:noProof/>
                <w:color w:val="0000FF"/>
              </w:rPr>
              <w:t xml:space="preserve"> </w:t>
            </w:r>
            <w:r w:rsidR="00FA178A">
              <w:rPr>
                <w:noProof/>
                <w:color w:val="0000FF"/>
              </w:rPr>
              <w:br/>
            </w:r>
            <w:r w:rsidR="00FA178A">
              <w:rPr>
                <w:noProof/>
                <w:color w:val="0000FF"/>
              </w:rPr>
              <w:tab/>
            </w:r>
            <w:r w:rsidR="00FA178A" w:rsidRPr="00FA178A">
              <w:rPr>
                <w:noProof/>
                <w:color w:val="0000FF"/>
              </w:rPr>
              <w:t>nuclear</w:t>
            </w:r>
            <w:r w:rsidR="00E26782">
              <w:rPr>
                <w:noProof/>
                <w:webHidden/>
              </w:rPr>
              <w:tab/>
            </w:r>
            <w:r w:rsidR="00D317D2">
              <w:rPr>
                <w:noProof/>
                <w:webHidden/>
              </w:rPr>
              <w:t>51</w:t>
            </w:r>
          </w:hyperlink>
        </w:p>
        <w:p w14:paraId="5F511FDF" w14:textId="44821635" w:rsidR="003E5D1B" w:rsidRDefault="0097129E" w:rsidP="00FA178A">
          <w:pPr>
            <w:tabs>
              <w:tab w:val="right" w:leader="dot" w:pos="9016"/>
            </w:tabs>
            <w:ind w:left="660"/>
            <w:jc w:val="left"/>
            <w:rPr>
              <w:rFonts w:asciiTheme="minorHAnsi" w:hAnsiTheme="minorHAnsi"/>
              <w:noProof/>
              <w:sz w:val="22"/>
              <w:szCs w:val="22"/>
              <w:lang w:eastAsia="ko-KR"/>
            </w:rPr>
          </w:pPr>
          <w:hyperlink w:anchor="_Toc117501987" w:history="1">
            <w:r w:rsidR="00E26782">
              <w:rPr>
                <w:noProof/>
                <w:color w:val="0000FF"/>
              </w:rPr>
              <w:t xml:space="preserve">2.3.2.8 </w:t>
            </w:r>
            <w:r w:rsidR="00FA178A" w:rsidRPr="00FA178A">
              <w:rPr>
                <w:noProof/>
                <w:color w:val="0000FF"/>
              </w:rPr>
              <w:t xml:space="preserve">Respuesta en casos de emergencia medioambiental no vinculados con </w:t>
            </w:r>
            <w:r w:rsidR="00FA178A">
              <w:rPr>
                <w:noProof/>
                <w:color w:val="0000FF"/>
              </w:rPr>
              <w:tab/>
            </w:r>
            <w:r w:rsidR="00FA178A" w:rsidRPr="00FA178A">
              <w:rPr>
                <w:noProof/>
                <w:color w:val="0000FF"/>
              </w:rPr>
              <w:t>accidentes nucleares</w:t>
            </w:r>
            <w:r w:rsidR="00E26782">
              <w:rPr>
                <w:noProof/>
                <w:webHidden/>
              </w:rPr>
              <w:tab/>
            </w:r>
            <w:r w:rsidR="00D317D2">
              <w:rPr>
                <w:noProof/>
                <w:webHidden/>
              </w:rPr>
              <w:t>5</w:t>
            </w:r>
            <w:r w:rsidR="00E26782">
              <w:rPr>
                <w:noProof/>
                <w:webHidden/>
              </w:rPr>
              <w:fldChar w:fldCharType="begin"/>
            </w:r>
            <w:r w:rsidR="00E26782">
              <w:rPr>
                <w:noProof/>
                <w:webHidden/>
              </w:rPr>
              <w:instrText xml:space="preserve"> PAGEREF _Toc117501987 \h </w:instrText>
            </w:r>
            <w:r w:rsidR="00E26782">
              <w:rPr>
                <w:noProof/>
                <w:webHidden/>
              </w:rPr>
            </w:r>
            <w:r w:rsidR="00E26782">
              <w:rPr>
                <w:noProof/>
                <w:webHidden/>
              </w:rPr>
              <w:fldChar w:fldCharType="separate"/>
            </w:r>
            <w:r w:rsidR="00E26782">
              <w:rPr>
                <w:noProof/>
                <w:webHidden/>
              </w:rPr>
              <w:t>4</w:t>
            </w:r>
            <w:r w:rsidR="00E26782">
              <w:rPr>
                <w:noProof/>
                <w:webHidden/>
              </w:rPr>
              <w:fldChar w:fldCharType="end"/>
            </w:r>
          </w:hyperlink>
        </w:p>
        <w:p w14:paraId="4640903E" w14:textId="6A8C37E2" w:rsidR="003E5D1B" w:rsidRDefault="0097129E">
          <w:pPr>
            <w:tabs>
              <w:tab w:val="right" w:leader="dot" w:pos="9016"/>
            </w:tabs>
            <w:ind w:left="660"/>
            <w:rPr>
              <w:rFonts w:asciiTheme="minorHAnsi" w:hAnsiTheme="minorHAnsi"/>
              <w:noProof/>
              <w:sz w:val="22"/>
              <w:szCs w:val="22"/>
              <w:lang w:eastAsia="ko-KR"/>
            </w:rPr>
          </w:pPr>
          <w:hyperlink w:anchor="_Toc117501988" w:history="1">
            <w:r w:rsidR="00E26782">
              <w:rPr>
                <w:noProof/>
                <w:color w:val="0000FF"/>
              </w:rPr>
              <w:t xml:space="preserve">2.3.2.9 </w:t>
            </w:r>
            <w:r w:rsidR="0055210A" w:rsidRPr="0055210A">
              <w:rPr>
                <w:noProof/>
                <w:color w:val="0000FF"/>
              </w:rPr>
              <w:t>Predicciones de tormentas de arena y polvo atmosféricos</w:t>
            </w:r>
            <w:r w:rsidR="00E26782">
              <w:rPr>
                <w:noProof/>
                <w:webHidden/>
              </w:rPr>
              <w:tab/>
            </w:r>
            <w:r w:rsidR="00D317D2">
              <w:rPr>
                <w:noProof/>
                <w:webHidden/>
              </w:rPr>
              <w:t>55</w:t>
            </w:r>
          </w:hyperlink>
        </w:p>
        <w:p w14:paraId="35EA7962" w14:textId="40EEB7EA" w:rsidR="003E5D1B" w:rsidRDefault="0097129E" w:rsidP="00505BC1">
          <w:pPr>
            <w:tabs>
              <w:tab w:val="right" w:leader="dot" w:pos="9016"/>
            </w:tabs>
            <w:ind w:left="660"/>
            <w:jc w:val="left"/>
            <w:rPr>
              <w:rFonts w:asciiTheme="minorHAnsi" w:hAnsiTheme="minorHAnsi"/>
              <w:noProof/>
              <w:sz w:val="22"/>
              <w:szCs w:val="22"/>
              <w:lang w:eastAsia="ko-KR"/>
            </w:rPr>
          </w:pPr>
          <w:hyperlink w:anchor="_Toc117501989" w:history="1">
            <w:r w:rsidR="00E26782">
              <w:rPr>
                <w:noProof/>
                <w:color w:val="0000FF"/>
              </w:rPr>
              <w:t xml:space="preserve">2.3.2.10 </w:t>
            </w:r>
            <w:r w:rsidR="00505BC1" w:rsidRPr="00505BC1">
              <w:rPr>
                <w:noProof/>
                <w:color w:val="0000FF"/>
              </w:rPr>
              <w:t>Servicios de vigilancia volcánica para la navegación aérea</w:t>
            </w:r>
            <w:r w:rsidR="00505BC1">
              <w:rPr>
                <w:noProof/>
                <w:color w:val="0000FF"/>
              </w:rPr>
              <w:br/>
            </w:r>
            <w:r w:rsidR="00505BC1">
              <w:rPr>
                <w:noProof/>
                <w:color w:val="0000FF"/>
              </w:rPr>
              <w:tab/>
            </w:r>
            <w:r w:rsidR="00505BC1" w:rsidRPr="00505BC1">
              <w:rPr>
                <w:noProof/>
                <w:color w:val="0000FF"/>
              </w:rPr>
              <w:t>internacional</w:t>
            </w:r>
            <w:r w:rsidR="00E26782">
              <w:rPr>
                <w:noProof/>
                <w:webHidden/>
              </w:rPr>
              <w:tab/>
            </w:r>
            <w:r w:rsidR="00D317D2">
              <w:rPr>
                <w:noProof/>
                <w:webHidden/>
              </w:rPr>
              <w:t>57</w:t>
            </w:r>
          </w:hyperlink>
        </w:p>
        <w:p w14:paraId="7F3F7CCA" w14:textId="57140772" w:rsidR="003E5D1B" w:rsidRDefault="0097129E">
          <w:pPr>
            <w:tabs>
              <w:tab w:val="right" w:leader="dot" w:pos="9016"/>
            </w:tabs>
            <w:ind w:left="660"/>
            <w:rPr>
              <w:rFonts w:asciiTheme="minorHAnsi" w:hAnsiTheme="minorHAnsi"/>
              <w:noProof/>
              <w:sz w:val="22"/>
              <w:szCs w:val="22"/>
              <w:lang w:eastAsia="ko-KR"/>
            </w:rPr>
          </w:pPr>
          <w:hyperlink w:anchor="_Toc117501990" w:history="1">
            <w:r w:rsidR="00E26782">
              <w:rPr>
                <w:noProof/>
                <w:color w:val="0000FF"/>
              </w:rPr>
              <w:t xml:space="preserve">2.3.2.11 </w:t>
            </w:r>
            <w:r w:rsidR="008A1EA9">
              <w:rPr>
                <w:noProof/>
                <w:color w:val="0000FF"/>
              </w:rPr>
              <w:t>Servicios meteorológicos marinos</w:t>
            </w:r>
            <w:r w:rsidR="00E26782">
              <w:rPr>
                <w:noProof/>
                <w:webHidden/>
              </w:rPr>
              <w:tab/>
            </w:r>
            <w:r w:rsidR="00E26782">
              <w:rPr>
                <w:noProof/>
                <w:webHidden/>
              </w:rPr>
              <w:fldChar w:fldCharType="begin"/>
            </w:r>
            <w:r w:rsidR="00E26782">
              <w:rPr>
                <w:noProof/>
                <w:webHidden/>
              </w:rPr>
              <w:instrText xml:space="preserve"> PAGEREF _Toc117501990 \h </w:instrText>
            </w:r>
            <w:r w:rsidR="00E26782">
              <w:rPr>
                <w:noProof/>
                <w:webHidden/>
              </w:rPr>
            </w:r>
            <w:r w:rsidR="00E26782">
              <w:rPr>
                <w:noProof/>
                <w:webHidden/>
              </w:rPr>
              <w:fldChar w:fldCharType="separate"/>
            </w:r>
            <w:r w:rsidR="00E26782">
              <w:rPr>
                <w:noProof/>
                <w:webHidden/>
              </w:rPr>
              <w:t>5</w:t>
            </w:r>
            <w:r w:rsidR="00D317D2">
              <w:rPr>
                <w:noProof/>
                <w:webHidden/>
              </w:rPr>
              <w:t>7</w:t>
            </w:r>
            <w:r w:rsidR="00E26782">
              <w:rPr>
                <w:noProof/>
                <w:webHidden/>
              </w:rPr>
              <w:fldChar w:fldCharType="end"/>
            </w:r>
          </w:hyperlink>
        </w:p>
        <w:p w14:paraId="41A34991" w14:textId="315EBF93" w:rsidR="003E5D1B" w:rsidRDefault="0097129E">
          <w:pPr>
            <w:tabs>
              <w:tab w:val="right" w:leader="dot" w:pos="9016"/>
            </w:tabs>
            <w:ind w:left="660"/>
            <w:rPr>
              <w:rFonts w:asciiTheme="minorHAnsi" w:hAnsiTheme="minorHAnsi"/>
              <w:noProof/>
              <w:sz w:val="22"/>
              <w:szCs w:val="22"/>
              <w:lang w:eastAsia="ko-KR"/>
            </w:rPr>
          </w:pPr>
          <w:hyperlink w:anchor="_Toc117501991" w:history="1">
            <w:r w:rsidR="00E26782">
              <w:rPr>
                <w:noProof/>
                <w:color w:val="0000FF"/>
              </w:rPr>
              <w:t xml:space="preserve">2.3.2.12 </w:t>
            </w:r>
            <w:r w:rsidR="008A1EA9" w:rsidRPr="008A1EA9">
              <w:rPr>
                <w:noProof/>
                <w:color w:val="0000FF"/>
              </w:rPr>
              <w:t>Respuesta a emergencias medioambientales marinas</w:t>
            </w:r>
            <w:r w:rsidR="00E26782">
              <w:rPr>
                <w:noProof/>
                <w:webHidden/>
              </w:rPr>
              <w:tab/>
            </w:r>
            <w:r w:rsidR="00E26782">
              <w:rPr>
                <w:noProof/>
                <w:webHidden/>
              </w:rPr>
              <w:fldChar w:fldCharType="begin"/>
            </w:r>
            <w:r w:rsidR="00E26782">
              <w:rPr>
                <w:noProof/>
                <w:webHidden/>
              </w:rPr>
              <w:instrText xml:space="preserve"> PAGEREF _Toc117501991 \h </w:instrText>
            </w:r>
            <w:r w:rsidR="00E26782">
              <w:rPr>
                <w:noProof/>
                <w:webHidden/>
              </w:rPr>
            </w:r>
            <w:r w:rsidR="00E26782">
              <w:rPr>
                <w:noProof/>
                <w:webHidden/>
              </w:rPr>
              <w:fldChar w:fldCharType="separate"/>
            </w:r>
            <w:r w:rsidR="00E26782">
              <w:rPr>
                <w:noProof/>
                <w:webHidden/>
              </w:rPr>
              <w:t>5</w:t>
            </w:r>
            <w:r w:rsidR="00A00912">
              <w:rPr>
                <w:noProof/>
                <w:webHidden/>
              </w:rPr>
              <w:t>9</w:t>
            </w:r>
            <w:r w:rsidR="00E26782">
              <w:rPr>
                <w:noProof/>
                <w:webHidden/>
              </w:rPr>
              <w:fldChar w:fldCharType="end"/>
            </w:r>
          </w:hyperlink>
        </w:p>
        <w:p w14:paraId="304A2701" w14:textId="5A979B51" w:rsidR="003E5D1B" w:rsidRDefault="0097129E">
          <w:pPr>
            <w:tabs>
              <w:tab w:val="right" w:leader="dot" w:pos="9016"/>
            </w:tabs>
            <w:ind w:left="400"/>
            <w:rPr>
              <w:rFonts w:asciiTheme="minorHAnsi" w:hAnsiTheme="minorHAnsi"/>
              <w:noProof/>
              <w:sz w:val="22"/>
              <w:szCs w:val="22"/>
              <w:lang w:eastAsia="ko-KR"/>
            </w:rPr>
          </w:pPr>
          <w:hyperlink w:anchor="_Toc117501992" w:history="1">
            <w:r w:rsidR="00E26782">
              <w:rPr>
                <w:noProof/>
                <w:color w:val="0000FF"/>
              </w:rPr>
              <w:t xml:space="preserve">2.3.3 </w:t>
            </w:r>
            <w:r w:rsidR="008A1EA9" w:rsidRPr="008A1EA9">
              <w:rPr>
                <w:noProof/>
                <w:color w:val="0000FF"/>
              </w:rPr>
              <w:t>Actividades de coordinación en tiempo no real</w:t>
            </w:r>
            <w:r w:rsidR="00E26782">
              <w:rPr>
                <w:noProof/>
                <w:webHidden/>
              </w:rPr>
              <w:tab/>
            </w:r>
            <w:r w:rsidR="00E26782">
              <w:rPr>
                <w:noProof/>
                <w:webHidden/>
              </w:rPr>
              <w:fldChar w:fldCharType="begin"/>
            </w:r>
            <w:r w:rsidR="00E26782">
              <w:rPr>
                <w:noProof/>
                <w:webHidden/>
              </w:rPr>
              <w:instrText xml:space="preserve"> PAGEREF _Toc117501992 \h </w:instrText>
            </w:r>
            <w:r w:rsidR="00E26782">
              <w:rPr>
                <w:noProof/>
                <w:webHidden/>
              </w:rPr>
            </w:r>
            <w:r w:rsidR="00E26782">
              <w:rPr>
                <w:noProof/>
                <w:webHidden/>
              </w:rPr>
              <w:fldChar w:fldCharType="separate"/>
            </w:r>
            <w:r w:rsidR="00E26782">
              <w:rPr>
                <w:noProof/>
                <w:webHidden/>
              </w:rPr>
              <w:t>5</w:t>
            </w:r>
            <w:r w:rsidR="00A00912">
              <w:rPr>
                <w:noProof/>
                <w:webHidden/>
              </w:rPr>
              <w:t>9</w:t>
            </w:r>
            <w:r w:rsidR="00E26782">
              <w:rPr>
                <w:noProof/>
                <w:webHidden/>
              </w:rPr>
              <w:fldChar w:fldCharType="end"/>
            </w:r>
          </w:hyperlink>
        </w:p>
        <w:p w14:paraId="27C71759" w14:textId="5D7E0F5F" w:rsidR="003E5D1B" w:rsidRDefault="0097129E" w:rsidP="008A1EA9">
          <w:pPr>
            <w:tabs>
              <w:tab w:val="left" w:pos="1600"/>
              <w:tab w:val="right" w:leader="dot" w:pos="9016"/>
            </w:tabs>
            <w:ind w:left="660"/>
            <w:jc w:val="left"/>
            <w:rPr>
              <w:rFonts w:asciiTheme="minorHAnsi" w:hAnsiTheme="minorHAnsi"/>
              <w:noProof/>
              <w:sz w:val="22"/>
              <w:szCs w:val="22"/>
              <w:lang w:eastAsia="ko-KR"/>
            </w:rPr>
          </w:pPr>
          <w:hyperlink w:anchor="_Toc117501993" w:history="1">
            <w:r w:rsidR="00E26782">
              <w:rPr>
                <w:rFonts w:cs="Times New Roman"/>
                <w:noProof/>
                <w:color w:val="0000FF"/>
              </w:rPr>
              <w:t>2.3.3.1</w:t>
            </w:r>
            <w:r w:rsidR="00E26782">
              <w:rPr>
                <w:rFonts w:asciiTheme="minorHAnsi" w:hAnsiTheme="minorHAnsi"/>
                <w:noProof/>
                <w:sz w:val="22"/>
                <w:szCs w:val="22"/>
                <w:lang w:eastAsia="ko-KR"/>
              </w:rPr>
              <w:tab/>
            </w:r>
            <w:r w:rsidR="008A1EA9" w:rsidRPr="008A1EA9">
              <w:rPr>
                <w:noProof/>
                <w:color w:val="0000FF"/>
              </w:rPr>
              <w:t xml:space="preserve">Coordinación de la verificación de la predicción numérica del tiempo </w:t>
            </w:r>
            <w:r w:rsidR="008A1EA9">
              <w:rPr>
                <w:noProof/>
                <w:color w:val="0000FF"/>
              </w:rPr>
              <w:tab/>
            </w:r>
            <w:r w:rsidR="008A1EA9" w:rsidRPr="008A1EA9">
              <w:rPr>
                <w:noProof/>
                <w:color w:val="0000FF"/>
              </w:rPr>
              <w:t>determinística</w:t>
            </w:r>
            <w:r w:rsidR="00E26782">
              <w:rPr>
                <w:noProof/>
                <w:webHidden/>
              </w:rPr>
              <w:tab/>
            </w:r>
            <w:r w:rsidR="00E26782">
              <w:rPr>
                <w:noProof/>
                <w:webHidden/>
              </w:rPr>
              <w:fldChar w:fldCharType="begin"/>
            </w:r>
            <w:r w:rsidR="00E26782">
              <w:rPr>
                <w:noProof/>
                <w:webHidden/>
              </w:rPr>
              <w:instrText xml:space="preserve"> PAGEREF _Toc117501993 \h </w:instrText>
            </w:r>
            <w:r w:rsidR="00E26782">
              <w:rPr>
                <w:noProof/>
                <w:webHidden/>
              </w:rPr>
            </w:r>
            <w:r w:rsidR="00E26782">
              <w:rPr>
                <w:noProof/>
                <w:webHidden/>
              </w:rPr>
              <w:fldChar w:fldCharType="separate"/>
            </w:r>
            <w:r w:rsidR="00E26782">
              <w:rPr>
                <w:noProof/>
                <w:webHidden/>
              </w:rPr>
              <w:t>5</w:t>
            </w:r>
            <w:r w:rsidR="00A00912">
              <w:rPr>
                <w:noProof/>
                <w:webHidden/>
              </w:rPr>
              <w:t>9</w:t>
            </w:r>
            <w:r w:rsidR="00E26782">
              <w:rPr>
                <w:noProof/>
                <w:webHidden/>
              </w:rPr>
              <w:fldChar w:fldCharType="end"/>
            </w:r>
          </w:hyperlink>
        </w:p>
        <w:p w14:paraId="1BD77DD6" w14:textId="07318505" w:rsidR="003E5D1B" w:rsidRDefault="0097129E">
          <w:pPr>
            <w:tabs>
              <w:tab w:val="right" w:leader="dot" w:pos="9016"/>
            </w:tabs>
            <w:ind w:left="660"/>
            <w:rPr>
              <w:rFonts w:asciiTheme="minorHAnsi" w:hAnsiTheme="minorHAnsi"/>
              <w:noProof/>
              <w:sz w:val="22"/>
              <w:szCs w:val="22"/>
              <w:lang w:eastAsia="ko-KR"/>
            </w:rPr>
          </w:pPr>
          <w:hyperlink w:anchor="_Toc117501994" w:history="1">
            <w:r w:rsidR="00E26782">
              <w:rPr>
                <w:noProof/>
                <w:color w:val="0000FF"/>
              </w:rPr>
              <w:t xml:space="preserve">2.3.3.2 </w:t>
            </w:r>
            <w:r w:rsidR="000B6B11" w:rsidRPr="000B6B11">
              <w:rPr>
                <w:noProof/>
                <w:color w:val="0000FF"/>
              </w:rPr>
              <w:t>Coordinación de la verificación del sistema de predicción por conjuntos</w:t>
            </w:r>
            <w:r w:rsidR="00E26782">
              <w:rPr>
                <w:noProof/>
                <w:webHidden/>
              </w:rPr>
              <w:tab/>
            </w:r>
            <w:r w:rsidR="00A00912">
              <w:rPr>
                <w:noProof/>
                <w:webHidden/>
              </w:rPr>
              <w:t>61</w:t>
            </w:r>
          </w:hyperlink>
        </w:p>
        <w:p w14:paraId="35033FAD" w14:textId="6424C45E" w:rsidR="003E5D1B" w:rsidRDefault="0097129E">
          <w:pPr>
            <w:tabs>
              <w:tab w:val="right" w:leader="dot" w:pos="9016"/>
            </w:tabs>
            <w:ind w:left="660"/>
            <w:rPr>
              <w:rFonts w:asciiTheme="minorHAnsi" w:hAnsiTheme="minorHAnsi"/>
              <w:noProof/>
              <w:sz w:val="22"/>
              <w:szCs w:val="22"/>
              <w:lang w:eastAsia="ko-KR"/>
            </w:rPr>
          </w:pPr>
          <w:hyperlink w:anchor="_Toc117501995" w:history="1">
            <w:r w:rsidR="00E26782">
              <w:rPr>
                <w:noProof/>
                <w:color w:val="0000FF"/>
              </w:rPr>
              <w:t xml:space="preserve">2.3.3.3 </w:t>
            </w:r>
            <w:r w:rsidR="000B6B11" w:rsidRPr="000B6B11">
              <w:rPr>
                <w:noProof/>
                <w:color w:val="0000FF"/>
              </w:rPr>
              <w:t>Coordinación de la verificación de la predicción de las olas</w:t>
            </w:r>
            <w:r w:rsidR="00E26782">
              <w:rPr>
                <w:noProof/>
                <w:webHidden/>
              </w:rPr>
              <w:tab/>
            </w:r>
            <w:r w:rsidR="00A00912">
              <w:rPr>
                <w:noProof/>
                <w:webHidden/>
              </w:rPr>
              <w:t>6</w:t>
            </w:r>
            <w:r w:rsidR="008769AA">
              <w:rPr>
                <w:noProof/>
                <w:webHidden/>
              </w:rPr>
              <w:t>3</w:t>
            </w:r>
          </w:hyperlink>
        </w:p>
        <w:p w14:paraId="58AEADE2" w14:textId="6EB21FB4" w:rsidR="003E5D1B" w:rsidRDefault="0097129E">
          <w:pPr>
            <w:tabs>
              <w:tab w:val="right" w:leader="dot" w:pos="9016"/>
            </w:tabs>
            <w:ind w:left="660"/>
            <w:rPr>
              <w:rFonts w:asciiTheme="minorHAnsi" w:hAnsiTheme="minorHAnsi"/>
              <w:noProof/>
              <w:sz w:val="22"/>
              <w:szCs w:val="22"/>
              <w:lang w:eastAsia="ko-KR"/>
            </w:rPr>
          </w:pPr>
          <w:hyperlink w:anchor="_Toc117501996" w:history="1">
            <w:r w:rsidR="00E26782">
              <w:rPr>
                <w:noProof/>
                <w:color w:val="0000FF"/>
              </w:rPr>
              <w:t xml:space="preserve">2.3.3.4 </w:t>
            </w:r>
            <w:r w:rsidR="000B6B11" w:rsidRPr="000B6B11">
              <w:rPr>
                <w:noProof/>
                <w:color w:val="0000FF"/>
              </w:rPr>
              <w:t>Coordinación de la verificación de la predicción de ciclones tropicales</w:t>
            </w:r>
            <w:r w:rsidR="00E26782">
              <w:rPr>
                <w:noProof/>
                <w:webHidden/>
              </w:rPr>
              <w:tab/>
            </w:r>
            <w:r w:rsidR="008769AA">
              <w:rPr>
                <w:noProof/>
                <w:webHidden/>
              </w:rPr>
              <w:t>64</w:t>
            </w:r>
          </w:hyperlink>
        </w:p>
        <w:p w14:paraId="40518F5E" w14:textId="6FA7DD4F" w:rsidR="003E5D1B" w:rsidRDefault="0097129E">
          <w:pPr>
            <w:tabs>
              <w:tab w:val="right" w:leader="dot" w:pos="9016"/>
            </w:tabs>
            <w:ind w:left="660"/>
            <w:rPr>
              <w:rFonts w:asciiTheme="minorHAnsi" w:hAnsiTheme="minorHAnsi"/>
              <w:noProof/>
              <w:sz w:val="22"/>
              <w:szCs w:val="22"/>
              <w:lang w:eastAsia="ko-KR"/>
            </w:rPr>
          </w:pPr>
          <w:hyperlink w:anchor="_Toc117501997" w:history="1">
            <w:r w:rsidR="00E26782">
              <w:rPr>
                <w:noProof/>
                <w:color w:val="0000FF"/>
              </w:rPr>
              <w:t xml:space="preserve">2.2.3.5 </w:t>
            </w:r>
            <w:r w:rsidR="000B6B11" w:rsidRPr="000B6B11">
              <w:rPr>
                <w:noProof/>
                <w:color w:val="0000FF"/>
              </w:rPr>
              <w:t>Coordinación del control de las observaciones</w:t>
            </w:r>
            <w:r w:rsidR="00E26782">
              <w:rPr>
                <w:noProof/>
                <w:webHidden/>
              </w:rPr>
              <w:tab/>
            </w:r>
            <w:r w:rsidR="008769AA">
              <w:rPr>
                <w:noProof/>
                <w:webHidden/>
              </w:rPr>
              <w:t>66</w:t>
            </w:r>
          </w:hyperlink>
        </w:p>
        <w:p w14:paraId="13F5E1F1" w14:textId="4CF69929" w:rsidR="003E5D1B" w:rsidRDefault="0097129E">
          <w:pPr>
            <w:tabs>
              <w:tab w:val="left" w:pos="1000"/>
              <w:tab w:val="right" w:leader="dot" w:pos="9016"/>
            </w:tabs>
            <w:ind w:left="200"/>
            <w:rPr>
              <w:rFonts w:asciiTheme="minorHAnsi" w:hAnsiTheme="minorHAnsi"/>
              <w:b/>
              <w:bCs/>
              <w:noProof/>
              <w:lang w:eastAsia="ko-KR"/>
            </w:rPr>
          </w:pPr>
          <w:hyperlink w:anchor="_Toc117501998" w:history="1">
            <w:r w:rsidR="00E26782">
              <w:rPr>
                <w:noProof/>
                <w:color w:val="0000FF"/>
              </w:rPr>
              <w:t>2.4</w:t>
            </w:r>
            <w:r w:rsidR="00E26782">
              <w:rPr>
                <w:rFonts w:asciiTheme="minorHAnsi" w:hAnsiTheme="minorHAnsi"/>
                <w:noProof/>
                <w:lang w:eastAsia="ko-KR"/>
              </w:rPr>
              <w:tab/>
            </w:r>
            <w:r w:rsidR="000B6B11">
              <w:rPr>
                <w:noProof/>
                <w:color w:val="0000FF"/>
              </w:rPr>
              <w:t>Metadatos del G</w:t>
            </w:r>
            <w:r w:rsidR="00E26782">
              <w:rPr>
                <w:noProof/>
                <w:color w:val="0000FF"/>
              </w:rPr>
              <w:t>DPFS</w:t>
            </w:r>
            <w:r w:rsidR="00E26782">
              <w:rPr>
                <w:noProof/>
                <w:webHidden/>
              </w:rPr>
              <w:tab/>
            </w:r>
            <w:r w:rsidR="008769AA">
              <w:rPr>
                <w:noProof/>
                <w:webHidden/>
              </w:rPr>
              <w:t>6</w:t>
            </w:r>
          </w:hyperlink>
          <w:r w:rsidR="008769AA">
            <w:rPr>
              <w:noProof/>
            </w:rPr>
            <w:t>6</w:t>
          </w:r>
        </w:p>
        <w:p w14:paraId="5AE99764" w14:textId="74577E2F" w:rsidR="003E5D1B" w:rsidRDefault="0097129E">
          <w:pPr>
            <w:tabs>
              <w:tab w:val="right" w:leader="dot" w:pos="9016"/>
            </w:tabs>
            <w:rPr>
              <w:rFonts w:asciiTheme="minorHAnsi" w:hAnsiTheme="minorHAnsi"/>
              <w:b/>
              <w:i/>
              <w:noProof/>
              <w:sz w:val="22"/>
              <w:szCs w:val="22"/>
              <w:lang w:eastAsia="ko-KR"/>
            </w:rPr>
          </w:pPr>
          <w:hyperlink w:anchor="_Toc117501999" w:history="1">
            <w:r w:rsidR="00E26782">
              <w:rPr>
                <w:noProof/>
                <w:color w:val="0000FF"/>
              </w:rPr>
              <w:t>PART</w:t>
            </w:r>
            <w:r w:rsidR="008769AA">
              <w:rPr>
                <w:noProof/>
                <w:color w:val="0000FF"/>
              </w:rPr>
              <w:t>E</w:t>
            </w:r>
            <w:r w:rsidR="00E26782">
              <w:rPr>
                <w:noProof/>
                <w:color w:val="0000FF"/>
              </w:rPr>
              <w:t xml:space="preserve"> III. </w:t>
            </w:r>
            <w:r w:rsidR="000B6B11">
              <w:rPr>
                <w:noProof/>
                <w:color w:val="0000FF"/>
              </w:rPr>
              <w:t>PROCEDIMIENTOS DE DESIGNACIÓN</w:t>
            </w:r>
            <w:r w:rsidR="00E26782">
              <w:rPr>
                <w:noProof/>
                <w:webHidden/>
              </w:rPr>
              <w:tab/>
            </w:r>
            <w:r w:rsidR="008769AA">
              <w:rPr>
                <w:noProof/>
                <w:webHidden/>
              </w:rPr>
              <w:t>6</w:t>
            </w:r>
            <w:r w:rsidR="006A4241">
              <w:rPr>
                <w:noProof/>
                <w:webHidden/>
              </w:rPr>
              <w:t>7</w:t>
            </w:r>
          </w:hyperlink>
        </w:p>
        <w:p w14:paraId="4E61C40C" w14:textId="5E435C55" w:rsidR="003E5D1B" w:rsidRDefault="0097129E">
          <w:pPr>
            <w:tabs>
              <w:tab w:val="left" w:pos="1000"/>
              <w:tab w:val="right" w:leader="dot" w:pos="9016"/>
            </w:tabs>
            <w:ind w:left="200"/>
            <w:rPr>
              <w:rFonts w:asciiTheme="minorHAnsi" w:hAnsiTheme="minorHAnsi"/>
              <w:b/>
              <w:bCs/>
              <w:noProof/>
              <w:lang w:eastAsia="ko-KR"/>
            </w:rPr>
          </w:pPr>
          <w:hyperlink w:anchor="_Toc117502000" w:history="1">
            <w:r w:rsidR="00E26782">
              <w:rPr>
                <w:noProof/>
                <w:color w:val="0000FF"/>
              </w:rPr>
              <w:t>3.1</w:t>
            </w:r>
            <w:r w:rsidR="00E26782">
              <w:rPr>
                <w:rFonts w:asciiTheme="minorHAnsi" w:hAnsiTheme="minorHAnsi"/>
                <w:noProof/>
                <w:lang w:eastAsia="ko-KR"/>
              </w:rPr>
              <w:tab/>
            </w:r>
            <w:r w:rsidR="000B6B11">
              <w:rPr>
                <w:noProof/>
                <w:color w:val="0000FF"/>
              </w:rPr>
              <w:t>Consideraciones generales</w:t>
            </w:r>
            <w:r w:rsidR="00E26782">
              <w:rPr>
                <w:noProof/>
                <w:webHidden/>
              </w:rPr>
              <w:tab/>
            </w:r>
            <w:r w:rsidR="00E26782">
              <w:rPr>
                <w:noProof/>
                <w:webHidden/>
              </w:rPr>
              <w:fldChar w:fldCharType="begin"/>
            </w:r>
            <w:r w:rsidR="00E26782">
              <w:rPr>
                <w:noProof/>
                <w:webHidden/>
              </w:rPr>
              <w:instrText xml:space="preserve"> PAGEREF _Toc117502000 \h </w:instrText>
            </w:r>
            <w:r w:rsidR="00E26782">
              <w:rPr>
                <w:noProof/>
                <w:webHidden/>
              </w:rPr>
            </w:r>
            <w:r w:rsidR="00E26782">
              <w:rPr>
                <w:noProof/>
                <w:webHidden/>
              </w:rPr>
              <w:fldChar w:fldCharType="separate"/>
            </w:r>
            <w:r w:rsidR="006A4241">
              <w:rPr>
                <w:noProof/>
                <w:webHidden/>
              </w:rPr>
              <w:t>6</w:t>
            </w:r>
            <w:r w:rsidR="00E26782">
              <w:rPr>
                <w:noProof/>
                <w:webHidden/>
              </w:rPr>
              <w:t>7</w:t>
            </w:r>
            <w:r w:rsidR="00E26782">
              <w:rPr>
                <w:noProof/>
                <w:webHidden/>
              </w:rPr>
              <w:fldChar w:fldCharType="end"/>
            </w:r>
          </w:hyperlink>
        </w:p>
        <w:p w14:paraId="17AAEFB5" w14:textId="219B3D9D" w:rsidR="003E5D1B" w:rsidRDefault="0097129E">
          <w:pPr>
            <w:tabs>
              <w:tab w:val="left" w:pos="1000"/>
              <w:tab w:val="right" w:leader="dot" w:pos="9016"/>
            </w:tabs>
            <w:ind w:left="200"/>
            <w:rPr>
              <w:rFonts w:asciiTheme="minorHAnsi" w:hAnsiTheme="minorHAnsi"/>
              <w:b/>
              <w:bCs/>
              <w:noProof/>
              <w:lang w:eastAsia="ko-KR"/>
            </w:rPr>
          </w:pPr>
          <w:hyperlink w:anchor="_Toc117502001" w:history="1">
            <w:r w:rsidR="00E26782">
              <w:rPr>
                <w:noProof/>
                <w:color w:val="0000FF"/>
              </w:rPr>
              <w:t>3.2</w:t>
            </w:r>
            <w:r w:rsidR="00E26782">
              <w:rPr>
                <w:rFonts w:asciiTheme="minorHAnsi" w:hAnsiTheme="minorHAnsi"/>
                <w:noProof/>
                <w:lang w:eastAsia="ko-KR"/>
              </w:rPr>
              <w:tab/>
            </w:r>
            <w:r w:rsidR="00E26782">
              <w:rPr>
                <w:noProof/>
                <w:color w:val="0000FF"/>
              </w:rPr>
              <w:t>Proce</w:t>
            </w:r>
            <w:r w:rsidR="000B6B11">
              <w:rPr>
                <w:noProof/>
                <w:color w:val="0000FF"/>
              </w:rPr>
              <w:t>dimiento de creación de creación de centros con nuevas actividades</w:t>
            </w:r>
            <w:r w:rsidR="00E26782">
              <w:rPr>
                <w:noProof/>
                <w:webHidden/>
              </w:rPr>
              <w:tab/>
            </w:r>
            <w:r w:rsidR="00E26782">
              <w:rPr>
                <w:noProof/>
                <w:webHidden/>
              </w:rPr>
              <w:fldChar w:fldCharType="begin"/>
            </w:r>
            <w:r w:rsidR="00E26782">
              <w:rPr>
                <w:noProof/>
                <w:webHidden/>
              </w:rPr>
              <w:instrText xml:space="preserve"> PAGEREF _Toc117502001 \h </w:instrText>
            </w:r>
            <w:r w:rsidR="00E26782">
              <w:rPr>
                <w:noProof/>
                <w:webHidden/>
              </w:rPr>
            </w:r>
            <w:r w:rsidR="00E26782">
              <w:rPr>
                <w:noProof/>
                <w:webHidden/>
              </w:rPr>
              <w:fldChar w:fldCharType="separate"/>
            </w:r>
            <w:r w:rsidR="006A4241">
              <w:rPr>
                <w:noProof/>
                <w:webHidden/>
              </w:rPr>
              <w:t>6</w:t>
            </w:r>
            <w:r w:rsidR="00E26782">
              <w:rPr>
                <w:noProof/>
                <w:webHidden/>
              </w:rPr>
              <w:t>8</w:t>
            </w:r>
            <w:r w:rsidR="00E26782">
              <w:rPr>
                <w:noProof/>
                <w:webHidden/>
              </w:rPr>
              <w:fldChar w:fldCharType="end"/>
            </w:r>
          </w:hyperlink>
        </w:p>
        <w:p w14:paraId="13BAA316" w14:textId="5B2D3A9D" w:rsidR="003E5D1B" w:rsidRDefault="0097129E">
          <w:pPr>
            <w:tabs>
              <w:tab w:val="left" w:pos="1000"/>
              <w:tab w:val="right" w:leader="dot" w:pos="9016"/>
            </w:tabs>
            <w:ind w:left="200"/>
            <w:rPr>
              <w:rFonts w:asciiTheme="minorHAnsi" w:hAnsiTheme="minorHAnsi"/>
              <w:b/>
              <w:bCs/>
              <w:noProof/>
              <w:lang w:eastAsia="ko-KR"/>
            </w:rPr>
          </w:pPr>
          <w:hyperlink w:anchor="_Toc117502002" w:history="1">
            <w:r w:rsidR="00E26782">
              <w:rPr>
                <w:noProof/>
                <w:color w:val="0000FF"/>
              </w:rPr>
              <w:t>3.3</w:t>
            </w:r>
            <w:r w:rsidR="00E26782">
              <w:rPr>
                <w:rFonts w:asciiTheme="minorHAnsi" w:hAnsiTheme="minorHAnsi"/>
                <w:noProof/>
                <w:lang w:eastAsia="ko-KR"/>
              </w:rPr>
              <w:tab/>
            </w:r>
            <w:r w:rsidR="00E26782">
              <w:rPr>
                <w:noProof/>
                <w:color w:val="0000FF"/>
              </w:rPr>
              <w:t>Proced</w:t>
            </w:r>
            <w:r w:rsidR="000B6B11">
              <w:rPr>
                <w:noProof/>
                <w:color w:val="0000FF"/>
              </w:rPr>
              <w:t>imiento para designar un Centro Meteorológico Regional Especializado</w:t>
            </w:r>
            <w:r w:rsidR="00E26782">
              <w:rPr>
                <w:noProof/>
                <w:webHidden/>
              </w:rPr>
              <w:tab/>
            </w:r>
            <w:r w:rsidR="00E26782">
              <w:rPr>
                <w:noProof/>
                <w:webHidden/>
              </w:rPr>
              <w:fldChar w:fldCharType="begin"/>
            </w:r>
            <w:r w:rsidR="00E26782">
              <w:rPr>
                <w:noProof/>
                <w:webHidden/>
              </w:rPr>
              <w:instrText xml:space="preserve"> PAGEREF _Toc117502002 \h </w:instrText>
            </w:r>
            <w:r w:rsidR="00E26782">
              <w:rPr>
                <w:noProof/>
                <w:webHidden/>
              </w:rPr>
            </w:r>
            <w:r w:rsidR="00E26782">
              <w:rPr>
                <w:noProof/>
                <w:webHidden/>
              </w:rPr>
              <w:fldChar w:fldCharType="separate"/>
            </w:r>
            <w:r w:rsidR="006A4241">
              <w:rPr>
                <w:noProof/>
                <w:webHidden/>
              </w:rPr>
              <w:t>6</w:t>
            </w:r>
            <w:r w:rsidR="00E26782">
              <w:rPr>
                <w:noProof/>
                <w:webHidden/>
              </w:rPr>
              <w:t>9</w:t>
            </w:r>
            <w:r w:rsidR="00E26782">
              <w:rPr>
                <w:noProof/>
                <w:webHidden/>
              </w:rPr>
              <w:fldChar w:fldCharType="end"/>
            </w:r>
          </w:hyperlink>
        </w:p>
        <w:p w14:paraId="7A0F3C89" w14:textId="1DEB6DB2" w:rsidR="003E5D1B" w:rsidRDefault="0097129E">
          <w:pPr>
            <w:tabs>
              <w:tab w:val="right" w:leader="dot" w:pos="9016"/>
            </w:tabs>
            <w:ind w:left="400"/>
            <w:rPr>
              <w:rFonts w:asciiTheme="minorHAnsi" w:hAnsiTheme="minorHAnsi"/>
              <w:noProof/>
              <w:sz w:val="22"/>
              <w:szCs w:val="22"/>
              <w:lang w:eastAsia="ko-KR"/>
            </w:rPr>
          </w:pPr>
          <w:hyperlink w:anchor="_Toc117502003" w:history="1">
            <w:r w:rsidR="00E26782">
              <w:rPr>
                <w:noProof/>
                <w:color w:val="0000FF"/>
              </w:rPr>
              <w:t>3.3.1 Prepara</w:t>
            </w:r>
            <w:r w:rsidR="000B6B11">
              <w:rPr>
                <w:noProof/>
                <w:color w:val="0000FF"/>
              </w:rPr>
              <w:t>ción</w:t>
            </w:r>
            <w:r w:rsidR="00E26782">
              <w:rPr>
                <w:noProof/>
                <w:webHidden/>
              </w:rPr>
              <w:tab/>
            </w:r>
            <w:r w:rsidR="00E26782">
              <w:rPr>
                <w:noProof/>
                <w:webHidden/>
              </w:rPr>
              <w:fldChar w:fldCharType="begin"/>
            </w:r>
            <w:r w:rsidR="00E26782">
              <w:rPr>
                <w:noProof/>
                <w:webHidden/>
              </w:rPr>
              <w:instrText xml:space="preserve"> PAGEREF _Toc117502003 \h </w:instrText>
            </w:r>
            <w:r w:rsidR="00E26782">
              <w:rPr>
                <w:noProof/>
                <w:webHidden/>
              </w:rPr>
            </w:r>
            <w:r w:rsidR="00E26782">
              <w:rPr>
                <w:noProof/>
                <w:webHidden/>
              </w:rPr>
              <w:fldChar w:fldCharType="separate"/>
            </w:r>
            <w:r w:rsidR="006A4241">
              <w:rPr>
                <w:noProof/>
                <w:webHidden/>
              </w:rPr>
              <w:t>6</w:t>
            </w:r>
            <w:r w:rsidR="00E26782">
              <w:rPr>
                <w:noProof/>
                <w:webHidden/>
              </w:rPr>
              <w:t>9</w:t>
            </w:r>
            <w:r w:rsidR="00E26782">
              <w:rPr>
                <w:noProof/>
                <w:webHidden/>
              </w:rPr>
              <w:fldChar w:fldCharType="end"/>
            </w:r>
          </w:hyperlink>
        </w:p>
        <w:p w14:paraId="359240CB" w14:textId="73F9C8D4" w:rsidR="003E5D1B" w:rsidRDefault="0097129E">
          <w:pPr>
            <w:tabs>
              <w:tab w:val="right" w:leader="dot" w:pos="9016"/>
            </w:tabs>
            <w:ind w:left="400"/>
            <w:rPr>
              <w:rFonts w:asciiTheme="minorHAnsi" w:hAnsiTheme="minorHAnsi"/>
              <w:noProof/>
              <w:sz w:val="22"/>
              <w:szCs w:val="22"/>
              <w:lang w:eastAsia="ko-KR"/>
            </w:rPr>
          </w:pPr>
          <w:hyperlink w:anchor="_Toc117502004" w:history="1">
            <w:r w:rsidR="00E26782">
              <w:rPr>
                <w:noProof/>
                <w:color w:val="0000FF"/>
              </w:rPr>
              <w:t>3.3.2 Designa</w:t>
            </w:r>
            <w:r w:rsidR="000B6B11">
              <w:rPr>
                <w:noProof/>
                <w:color w:val="0000FF"/>
              </w:rPr>
              <w:t>ción</w:t>
            </w:r>
            <w:r w:rsidR="00E26782">
              <w:rPr>
                <w:noProof/>
                <w:webHidden/>
              </w:rPr>
              <w:tab/>
            </w:r>
            <w:r w:rsidR="00E26782">
              <w:rPr>
                <w:noProof/>
                <w:webHidden/>
              </w:rPr>
              <w:fldChar w:fldCharType="begin"/>
            </w:r>
            <w:r w:rsidR="00E26782">
              <w:rPr>
                <w:noProof/>
                <w:webHidden/>
              </w:rPr>
              <w:instrText xml:space="preserve"> PAGEREF _Toc117502004 \h </w:instrText>
            </w:r>
            <w:r w:rsidR="00E26782">
              <w:rPr>
                <w:noProof/>
                <w:webHidden/>
              </w:rPr>
            </w:r>
            <w:r w:rsidR="00E26782">
              <w:rPr>
                <w:noProof/>
                <w:webHidden/>
              </w:rPr>
              <w:fldChar w:fldCharType="separate"/>
            </w:r>
            <w:r w:rsidR="006A4241">
              <w:rPr>
                <w:noProof/>
                <w:webHidden/>
              </w:rPr>
              <w:t>7</w:t>
            </w:r>
            <w:r w:rsidR="00E26782">
              <w:rPr>
                <w:noProof/>
                <w:webHidden/>
              </w:rPr>
              <w:t>1</w:t>
            </w:r>
            <w:r w:rsidR="00E26782">
              <w:rPr>
                <w:noProof/>
                <w:webHidden/>
              </w:rPr>
              <w:fldChar w:fldCharType="end"/>
            </w:r>
          </w:hyperlink>
        </w:p>
        <w:p w14:paraId="46CC6A50" w14:textId="446A98CB" w:rsidR="003E5D1B" w:rsidRDefault="0097129E">
          <w:pPr>
            <w:tabs>
              <w:tab w:val="left" w:pos="1000"/>
              <w:tab w:val="right" w:leader="dot" w:pos="9016"/>
            </w:tabs>
            <w:ind w:left="200"/>
            <w:rPr>
              <w:rFonts w:asciiTheme="minorHAnsi" w:hAnsiTheme="minorHAnsi"/>
              <w:b/>
              <w:bCs/>
              <w:noProof/>
              <w:lang w:eastAsia="ko-KR"/>
            </w:rPr>
          </w:pPr>
          <w:hyperlink w:anchor="_Toc117502005" w:history="1">
            <w:r w:rsidR="00E26782">
              <w:rPr>
                <w:noProof/>
                <w:color w:val="0000FF"/>
              </w:rPr>
              <w:t>3.4</w:t>
            </w:r>
            <w:r w:rsidR="00E26782">
              <w:rPr>
                <w:rFonts w:asciiTheme="minorHAnsi" w:hAnsiTheme="minorHAnsi"/>
                <w:noProof/>
                <w:lang w:eastAsia="ko-KR"/>
              </w:rPr>
              <w:tab/>
            </w:r>
            <w:r w:rsidR="00E26782">
              <w:rPr>
                <w:noProof/>
                <w:color w:val="0000FF"/>
              </w:rPr>
              <w:t>Proced</w:t>
            </w:r>
            <w:r w:rsidR="000B6B11">
              <w:rPr>
                <w:noProof/>
                <w:color w:val="0000FF"/>
              </w:rPr>
              <w:t>imiento para designar un Centro Meteorológico Mundial</w:t>
            </w:r>
            <w:r w:rsidR="00E26782">
              <w:rPr>
                <w:noProof/>
                <w:webHidden/>
              </w:rPr>
              <w:tab/>
            </w:r>
            <w:r w:rsidR="006A4241">
              <w:rPr>
                <w:noProof/>
                <w:webHidden/>
              </w:rPr>
              <w:t>73</w:t>
            </w:r>
          </w:hyperlink>
        </w:p>
        <w:p w14:paraId="2B174C3E" w14:textId="7C3AF396" w:rsidR="003E5D1B" w:rsidRDefault="0097129E">
          <w:pPr>
            <w:tabs>
              <w:tab w:val="left" w:pos="1000"/>
              <w:tab w:val="right" w:leader="dot" w:pos="9016"/>
            </w:tabs>
            <w:ind w:left="200"/>
            <w:rPr>
              <w:rFonts w:asciiTheme="minorHAnsi" w:hAnsiTheme="minorHAnsi"/>
              <w:b/>
              <w:bCs/>
              <w:noProof/>
              <w:lang w:eastAsia="ko-KR"/>
            </w:rPr>
          </w:pPr>
          <w:hyperlink w:anchor="_Toc117502006" w:history="1">
            <w:r w:rsidR="00E26782">
              <w:rPr>
                <w:noProof/>
                <w:color w:val="0000FF"/>
              </w:rPr>
              <w:t>3.5</w:t>
            </w:r>
            <w:r w:rsidR="00E26782">
              <w:rPr>
                <w:rFonts w:asciiTheme="minorHAnsi" w:hAnsiTheme="minorHAnsi"/>
                <w:noProof/>
                <w:lang w:eastAsia="ko-KR"/>
              </w:rPr>
              <w:tab/>
            </w:r>
            <w:r w:rsidR="000B6B11">
              <w:rPr>
                <w:noProof/>
                <w:color w:val="0000FF"/>
              </w:rPr>
              <w:t>Examen del cumplimiento de los centros del GDPFS</w:t>
            </w:r>
            <w:r w:rsidR="00E26782">
              <w:rPr>
                <w:noProof/>
                <w:webHidden/>
              </w:rPr>
              <w:tab/>
            </w:r>
            <w:r w:rsidR="006A4241">
              <w:rPr>
                <w:noProof/>
                <w:webHidden/>
              </w:rPr>
              <w:t>73</w:t>
            </w:r>
          </w:hyperlink>
        </w:p>
        <w:p w14:paraId="37D49D72" w14:textId="74226C56" w:rsidR="003E5D1B" w:rsidRDefault="0097129E">
          <w:pPr>
            <w:tabs>
              <w:tab w:val="right" w:leader="dot" w:pos="9016"/>
            </w:tabs>
            <w:rPr>
              <w:rFonts w:asciiTheme="minorHAnsi" w:hAnsiTheme="minorHAnsi"/>
              <w:b/>
              <w:i/>
              <w:noProof/>
              <w:sz w:val="22"/>
              <w:szCs w:val="22"/>
              <w:lang w:eastAsia="ko-KR"/>
            </w:rPr>
          </w:pPr>
          <w:hyperlink w:anchor="_Toc117502007" w:history="1">
            <w:r w:rsidR="00E26782">
              <w:rPr>
                <w:noProof/>
                <w:color w:val="0000FF"/>
              </w:rPr>
              <w:t>AP</w:t>
            </w:r>
            <w:r w:rsidR="000B6B11">
              <w:rPr>
                <w:noProof/>
                <w:color w:val="0000FF"/>
              </w:rPr>
              <w:t>ÉNDICE</w:t>
            </w:r>
            <w:r w:rsidR="00E26782">
              <w:rPr>
                <w:noProof/>
                <w:color w:val="0000FF"/>
              </w:rPr>
              <w:t xml:space="preserve"> 1.5.2. COMPETENCI</w:t>
            </w:r>
            <w:r w:rsidR="000B6B11">
              <w:rPr>
                <w:noProof/>
                <w:color w:val="0000FF"/>
              </w:rPr>
              <w:t>AS</w:t>
            </w:r>
            <w:r w:rsidR="00E26782">
              <w:rPr>
                <w:noProof/>
                <w:color w:val="0000FF"/>
              </w:rPr>
              <w:t xml:space="preserve"> </w:t>
            </w:r>
            <w:r w:rsidR="000B6B11">
              <w:rPr>
                <w:noProof/>
                <w:color w:val="0000FF"/>
              </w:rPr>
              <w:t>DEL PERSONAL</w:t>
            </w:r>
            <w:r w:rsidR="00E26782">
              <w:rPr>
                <w:noProof/>
                <w:webHidden/>
              </w:rPr>
              <w:tab/>
            </w:r>
            <w:r w:rsidR="006A4241">
              <w:rPr>
                <w:noProof/>
                <w:webHidden/>
              </w:rPr>
              <w:t>74</w:t>
            </w:r>
          </w:hyperlink>
        </w:p>
        <w:p w14:paraId="72A8FDB8" w14:textId="61539D00" w:rsidR="003E5D1B" w:rsidRDefault="0097129E" w:rsidP="000E0EBF">
          <w:pPr>
            <w:tabs>
              <w:tab w:val="right" w:leader="dot" w:pos="9016"/>
            </w:tabs>
            <w:jc w:val="left"/>
            <w:rPr>
              <w:rFonts w:asciiTheme="minorHAnsi" w:hAnsiTheme="minorHAnsi"/>
              <w:b/>
              <w:i/>
              <w:noProof/>
              <w:sz w:val="22"/>
              <w:szCs w:val="22"/>
              <w:lang w:eastAsia="ko-KR"/>
            </w:rPr>
          </w:pPr>
          <w:hyperlink w:anchor="_Toc117502008" w:history="1">
            <w:r w:rsidR="00E26782">
              <w:rPr>
                <w:noProof/>
                <w:color w:val="0000FF"/>
              </w:rPr>
              <w:t>AP</w:t>
            </w:r>
            <w:r w:rsidR="000B6B11">
              <w:rPr>
                <w:noProof/>
                <w:color w:val="0000FF"/>
              </w:rPr>
              <w:t>ÉNDICE</w:t>
            </w:r>
            <w:r w:rsidR="00E26782">
              <w:rPr>
                <w:noProof/>
                <w:color w:val="0000FF"/>
              </w:rPr>
              <w:t xml:space="preserve"> 2.3.1 </w:t>
            </w:r>
            <w:r w:rsidR="000B6B11">
              <w:rPr>
                <w:noProof/>
                <w:color w:val="0000FF"/>
              </w:rPr>
              <w:t>PROCESO DE PREDICCIÓN RECOMENDADO PARA EL PERÍODO</w:t>
            </w:r>
            <w:r w:rsidR="000E0EBF">
              <w:rPr>
                <w:noProof/>
                <w:color w:val="0000FF"/>
              </w:rPr>
              <w:br/>
            </w:r>
            <w:r w:rsidR="000E0EBF">
              <w:rPr>
                <w:noProof/>
                <w:color w:val="0000FF"/>
              </w:rPr>
              <w:tab/>
            </w:r>
            <w:r w:rsidR="000B6B11">
              <w:rPr>
                <w:noProof/>
                <w:color w:val="0000FF"/>
              </w:rPr>
              <w:t>D+</w:t>
            </w:r>
            <w:r w:rsidR="000E0EBF">
              <w:rPr>
                <w:noProof/>
                <w:color w:val="0000FF"/>
              </w:rPr>
              <w:t>0 A D+3</w:t>
            </w:r>
            <w:r w:rsidR="000E0EBF">
              <w:rPr>
                <w:noProof/>
                <w:color w:val="0000FF"/>
              </w:rPr>
              <w:tab/>
            </w:r>
            <w:r w:rsidR="00E26782">
              <w:rPr>
                <w:noProof/>
                <w:webHidden/>
              </w:rPr>
              <w:fldChar w:fldCharType="begin"/>
            </w:r>
            <w:r w:rsidR="00E26782">
              <w:rPr>
                <w:noProof/>
                <w:webHidden/>
              </w:rPr>
              <w:instrText xml:space="preserve"> PAGEREF _Toc117502008 \h </w:instrText>
            </w:r>
            <w:r w:rsidR="00E26782">
              <w:rPr>
                <w:noProof/>
                <w:webHidden/>
              </w:rPr>
            </w:r>
            <w:r w:rsidR="00E26782">
              <w:rPr>
                <w:noProof/>
                <w:webHidden/>
              </w:rPr>
              <w:fldChar w:fldCharType="separate"/>
            </w:r>
            <w:r>
              <w:rPr>
                <w:noProof/>
                <w:webHidden/>
              </w:rPr>
              <w:t>75</w:t>
            </w:r>
            <w:r w:rsidR="00E26782">
              <w:rPr>
                <w:noProof/>
                <w:webHidden/>
              </w:rPr>
              <w:fldChar w:fldCharType="end"/>
            </w:r>
          </w:hyperlink>
        </w:p>
        <w:p w14:paraId="581A7DD8" w14:textId="78EDC529" w:rsidR="003E5D1B" w:rsidRDefault="0097129E" w:rsidP="000E0EBF">
          <w:pPr>
            <w:tabs>
              <w:tab w:val="right" w:leader="dot" w:pos="9016"/>
            </w:tabs>
            <w:jc w:val="left"/>
            <w:rPr>
              <w:rFonts w:asciiTheme="minorHAnsi" w:hAnsiTheme="minorHAnsi"/>
              <w:b/>
              <w:i/>
              <w:noProof/>
              <w:sz w:val="22"/>
              <w:szCs w:val="22"/>
              <w:lang w:eastAsia="ko-KR"/>
            </w:rPr>
          </w:pPr>
          <w:hyperlink w:anchor="_Toc117502009" w:history="1">
            <w:r w:rsidR="00E26782">
              <w:rPr>
                <w:noProof/>
                <w:color w:val="0000FF"/>
              </w:rPr>
              <w:t>AP</w:t>
            </w:r>
            <w:r w:rsidR="000E0EBF">
              <w:rPr>
                <w:noProof/>
                <w:color w:val="0000FF"/>
              </w:rPr>
              <w:t xml:space="preserve">ÉNDICE </w:t>
            </w:r>
            <w:r w:rsidR="00E26782">
              <w:rPr>
                <w:noProof/>
                <w:color w:val="0000FF"/>
              </w:rPr>
              <w:t xml:space="preserve">2.3.2 </w:t>
            </w:r>
            <w:r w:rsidR="000E0EBF">
              <w:rPr>
                <w:noProof/>
                <w:color w:val="0000FF"/>
              </w:rPr>
              <w:t>PROCESO DE PREDICCIÓN RECOMENDADO PARA EL PERÍODO</w:t>
            </w:r>
            <w:r w:rsidR="000E0EBF">
              <w:rPr>
                <w:noProof/>
                <w:color w:val="0000FF"/>
              </w:rPr>
              <w:br/>
            </w:r>
            <w:r w:rsidR="00E26782">
              <w:rPr>
                <w:noProof/>
                <w:color w:val="0000FF"/>
              </w:rPr>
              <w:t xml:space="preserve">D+4 </w:t>
            </w:r>
            <w:r w:rsidR="000E0EBF">
              <w:rPr>
                <w:noProof/>
                <w:color w:val="0000FF"/>
              </w:rPr>
              <w:t>A</w:t>
            </w:r>
            <w:r w:rsidR="00E26782">
              <w:rPr>
                <w:noProof/>
                <w:color w:val="0000FF"/>
              </w:rPr>
              <w:t xml:space="preserve"> D+10</w:t>
            </w:r>
            <w:r w:rsidR="00E26782">
              <w:rPr>
                <w:noProof/>
                <w:webHidden/>
              </w:rPr>
              <w:tab/>
            </w:r>
            <w:r w:rsidR="00E26782">
              <w:rPr>
                <w:noProof/>
                <w:webHidden/>
              </w:rPr>
              <w:fldChar w:fldCharType="begin"/>
            </w:r>
            <w:r w:rsidR="00E26782">
              <w:rPr>
                <w:noProof/>
                <w:webHidden/>
              </w:rPr>
              <w:instrText xml:space="preserve"> PAGEREF _Toc117502009 \h </w:instrText>
            </w:r>
            <w:r w:rsidR="00E26782">
              <w:rPr>
                <w:noProof/>
                <w:webHidden/>
              </w:rPr>
            </w:r>
            <w:r w:rsidR="00E26782">
              <w:rPr>
                <w:noProof/>
                <w:webHidden/>
              </w:rPr>
              <w:fldChar w:fldCharType="separate"/>
            </w:r>
            <w:r>
              <w:rPr>
                <w:noProof/>
                <w:webHidden/>
              </w:rPr>
              <w:t>76</w:t>
            </w:r>
            <w:r w:rsidR="00E26782">
              <w:rPr>
                <w:noProof/>
                <w:webHidden/>
              </w:rPr>
              <w:fldChar w:fldCharType="end"/>
            </w:r>
          </w:hyperlink>
        </w:p>
        <w:p w14:paraId="0B5AA702" w14:textId="07DF0756" w:rsidR="003E5D1B" w:rsidRDefault="00E26782">
          <w:r>
            <w:fldChar w:fldCharType="end"/>
          </w:r>
        </w:p>
      </w:sdtContent>
    </w:sdt>
    <w:p w14:paraId="2FC59B8B" w14:textId="77777777" w:rsidR="003E5D1B" w:rsidRDefault="003E5D1B"/>
    <w:p w14:paraId="4AECF697" w14:textId="77777777" w:rsidR="003E5D1B" w:rsidRDefault="003E5D1B"/>
    <w:p w14:paraId="7FBCE98D" w14:textId="77777777" w:rsidR="003E5D1B" w:rsidRDefault="00E26782">
      <w:pPr>
        <w:rPr>
          <w:rFonts w:ascii="Arial" w:eastAsia="Times New Roman" w:hAnsi="Arial" w:cs="Times New Roman"/>
          <w:b/>
          <w:bCs/>
          <w:color w:val="2F275B"/>
          <w:sz w:val="18"/>
          <w:szCs w:val="18"/>
        </w:rPr>
      </w:pPr>
      <w:r>
        <w:br w:type="page"/>
      </w:r>
    </w:p>
    <w:p w14:paraId="0D58B93E" w14:textId="77777777" w:rsidR="003E5D1B" w:rsidRDefault="00E26782" w:rsidP="00CD2BB2">
      <w:pPr>
        <w:pStyle w:val="TPSSection"/>
      </w:pPr>
      <w:r w:rsidRPr="00CD2BB2">
        <w:lastRenderedPageBreak/>
        <w:fldChar w:fldCharType="begin"/>
      </w:r>
      <w:r w:rsidRPr="00CD2BB2">
        <w:instrText xml:space="preserve"> MACROBUTTON TPS_Section SECTION: Chapter Introduction</w:instrText>
      </w:r>
      <w:r w:rsidRPr="00CD2BB2">
        <w:rPr>
          <w:vanish/>
        </w:rPr>
        <w:fldChar w:fldCharType="begin"/>
      </w:r>
      <w:r w:rsidRPr="00CD2BB2">
        <w:rPr>
          <w:vanish/>
        </w:rPr>
        <w:instrText>Name="Chapter First" ID="8D798327-D1D2-C941-803E-573A0E08011A"</w:instrText>
      </w:r>
      <w:r w:rsidRPr="00CD2BB2">
        <w:fldChar w:fldCharType="end"/>
      </w:r>
      <w:r w:rsidRPr="00CD2BB2">
        <w:fldChar w:fldCharType="end"/>
      </w:r>
    </w:p>
    <w:p w14:paraId="1FC72C1C" w14:textId="77777777" w:rsidR="003E5D1B" w:rsidRDefault="00E26782" w:rsidP="00CD2BB2">
      <w:pPr>
        <w:pStyle w:val="TPSSectionData"/>
      </w:pPr>
      <w:r w:rsidRPr="00CD2BB2">
        <w:fldChar w:fldCharType="begin"/>
      </w:r>
      <w:r w:rsidRPr="00CD2BB2">
        <w:instrText xml:space="preserve"> MACROBUTTON TPS_SectionField Chapter title in running head: INTRODUCTION </w:instrText>
      </w:r>
      <w:r w:rsidRPr="00CD2BB2">
        <w:rPr>
          <w:vanish/>
        </w:rPr>
        <w:fldChar w:fldCharType="begin"/>
      </w:r>
      <w:r w:rsidRPr="00CD2BB2">
        <w:rPr>
          <w:vanish/>
        </w:rPr>
        <w:instrText>Name="Chapter title in running head" Value="PART I. OUTLINE OF THE WMO GLOBAL DATA-PROCESSING AND FORECASTING SYSTEM"</w:instrText>
      </w:r>
      <w:r w:rsidRPr="00CD2BB2">
        <w:fldChar w:fldCharType="end"/>
      </w:r>
      <w:r w:rsidRPr="00CD2BB2">
        <w:fldChar w:fldCharType="end"/>
      </w:r>
    </w:p>
    <w:p w14:paraId="36F3E492" w14:textId="7E104086" w:rsidR="003E5D1B" w:rsidRPr="008357EA" w:rsidRDefault="00E26782">
      <w:pPr>
        <w:keepNext/>
        <w:tabs>
          <w:tab w:val="clear" w:pos="1134"/>
        </w:tabs>
        <w:spacing w:after="560" w:line="280" w:lineRule="exact"/>
        <w:jc w:val="left"/>
        <w:outlineLvl w:val="2"/>
        <w:rPr>
          <w:b/>
          <w:caps/>
          <w:color w:val="000000" w:themeColor="text1"/>
          <w:sz w:val="24"/>
          <w:szCs w:val="22"/>
          <w:lang w:val="es-419"/>
        </w:rPr>
      </w:pPr>
      <w:bookmarkStart w:id="5" w:name="_Toc113003280"/>
      <w:bookmarkStart w:id="6" w:name="_Toc113024405"/>
      <w:bookmarkStart w:id="7" w:name="_Toc117501937"/>
      <w:r>
        <w:rPr>
          <w:b/>
          <w:bCs/>
          <w:lang w:val="es-ES"/>
        </w:rPr>
        <w:t>INTRODUCCIÓN</w:t>
      </w:r>
      <w:bookmarkEnd w:id="5"/>
      <w:bookmarkEnd w:id="6"/>
      <w:bookmarkEnd w:id="7"/>
    </w:p>
    <w:p w14:paraId="459489EF" w14:textId="77777777" w:rsidR="003E5D1B" w:rsidRPr="008357EA" w:rsidRDefault="00E26782">
      <w:pPr>
        <w:keepNext/>
        <w:spacing w:before="480" w:after="240" w:line="240" w:lineRule="exact"/>
        <w:ind w:left="1123" w:hanging="1123"/>
        <w:jc w:val="left"/>
        <w:outlineLvl w:val="3"/>
        <w:rPr>
          <w:rFonts w:eastAsiaTheme="minorEastAsia" w:cstheme="majorBidi"/>
          <w:b/>
          <w:bCs/>
          <w:caps/>
          <w:color w:val="000000" w:themeColor="text1"/>
          <w:lang w:val="es-419"/>
        </w:rPr>
      </w:pPr>
      <w:r>
        <w:rPr>
          <w:b/>
          <w:bCs/>
          <w:lang w:val="es-ES"/>
        </w:rPr>
        <w:t>CONSIDERACIONES GENERALES</w:t>
      </w:r>
    </w:p>
    <w:p w14:paraId="6E7C67F1" w14:textId="21D816A9" w:rsidR="003E5D1B" w:rsidRPr="008357EA" w:rsidRDefault="00E26782">
      <w:pPr>
        <w:spacing w:after="240" w:line="240" w:lineRule="exact"/>
        <w:rPr>
          <w:rFonts w:eastAsiaTheme="minorEastAsia" w:cstheme="majorBidi"/>
          <w:color w:val="000000" w:themeColor="text1"/>
          <w:lang w:val="es-419"/>
        </w:rPr>
      </w:pPr>
      <w:r>
        <w:rPr>
          <w:lang w:val="es-ES"/>
        </w:rPr>
        <w:t xml:space="preserve">La presente </w:t>
      </w:r>
      <w:r w:rsidR="00FC7B89" w:rsidRPr="002D6434">
        <w:rPr>
          <w:i/>
          <w:iCs/>
          <w:lang w:val="es-ES"/>
        </w:rPr>
        <w:t>Guía del Sistema Mundial de Proceso de Datos</w:t>
      </w:r>
      <w:r w:rsidR="00FC7B89">
        <w:rPr>
          <w:lang w:val="es-ES"/>
        </w:rPr>
        <w:t xml:space="preserve"> </w:t>
      </w:r>
      <w:r w:rsidR="00FC7B89" w:rsidRPr="00FC7B89">
        <w:rPr>
          <w:i/>
          <w:iCs/>
          <w:lang w:val="es-ES"/>
        </w:rPr>
        <w:t>y de Predicción</w:t>
      </w:r>
      <w:r>
        <w:rPr>
          <w:lang w:val="es-ES"/>
        </w:rPr>
        <w:t xml:space="preserve"> (</w:t>
      </w:r>
      <w:r w:rsidR="00825D82" w:rsidRPr="00825D82">
        <w:rPr>
          <w:i/>
          <w:iCs/>
          <w:lang w:val="es-ES"/>
        </w:rPr>
        <w:t>Guía del GDPFS</w:t>
      </w:r>
      <w:r>
        <w:rPr>
          <w:lang w:val="es-ES"/>
        </w:rPr>
        <w:t xml:space="preserve">) es la nueva edición de la </w:t>
      </w:r>
      <w:r w:rsidR="002D6434" w:rsidRPr="002D6434">
        <w:rPr>
          <w:i/>
          <w:iCs/>
          <w:lang w:val="es-ES"/>
        </w:rPr>
        <w:t>Guía del Sistema Mundial de Proceso de Datos</w:t>
      </w:r>
      <w:r>
        <w:rPr>
          <w:lang w:val="es-ES"/>
        </w:rPr>
        <w:t xml:space="preserve"> (</w:t>
      </w:r>
      <w:r w:rsidR="00EB4587">
        <w:rPr>
          <w:lang w:val="es-ES"/>
        </w:rPr>
        <w:t>OMM</w:t>
      </w:r>
      <w:r w:rsidR="00EB4587">
        <w:rPr>
          <w:lang w:val="es-ES"/>
        </w:rPr>
        <w:noBreakHyphen/>
        <w:t>Nº</w:t>
      </w:r>
      <w:r w:rsidR="0093047C">
        <w:rPr>
          <w:lang w:val="es-ES"/>
        </w:rPr>
        <w:t> </w:t>
      </w:r>
      <w:r>
        <w:rPr>
          <w:lang w:val="es-ES"/>
        </w:rPr>
        <w:t xml:space="preserve">305). Esta nueva edición de la </w:t>
      </w:r>
      <w:r w:rsidR="00825D82" w:rsidRPr="00825D82">
        <w:rPr>
          <w:i/>
          <w:iCs/>
          <w:lang w:val="es-ES"/>
        </w:rPr>
        <w:t>Guía del GDPFS</w:t>
      </w:r>
      <w:r>
        <w:rPr>
          <w:lang w:val="es-ES"/>
        </w:rPr>
        <w:t xml:space="preserve"> se elaboró a raíz de la solicitud </w:t>
      </w:r>
      <w:r w:rsidR="00D0178F">
        <w:rPr>
          <w:lang w:val="es-ES"/>
        </w:rPr>
        <w:t>formulada en la Resolución 18 (EC</w:t>
      </w:r>
      <w:r w:rsidR="00D0178F">
        <w:rPr>
          <w:lang w:val="es-ES"/>
        </w:rPr>
        <w:noBreakHyphen/>
        <w:t>69) de la 69ª reunión d</w:t>
      </w:r>
      <w:r>
        <w:rPr>
          <w:lang w:val="es-ES"/>
        </w:rPr>
        <w:t>el Consejo Ejecutivo de la Organización Meteorológica Mundial (OMM)</w:t>
      </w:r>
      <w:r w:rsidR="00D0178F">
        <w:rPr>
          <w:lang w:val="es-ES"/>
        </w:rPr>
        <w:t xml:space="preserve">, </w:t>
      </w:r>
      <w:r>
        <w:rPr>
          <w:lang w:val="es-ES"/>
        </w:rPr>
        <w:t xml:space="preserve">para facilitar el uso de la versión revisada del </w:t>
      </w:r>
      <w:r w:rsidR="002D6434" w:rsidRPr="002D6434">
        <w:rPr>
          <w:i/>
          <w:iCs/>
          <w:lang w:val="es-ES"/>
        </w:rPr>
        <w:t>Manual del Sistema Mundial de Proceso de Datos y de Predicción</w:t>
      </w:r>
      <w:r>
        <w:rPr>
          <w:lang w:val="es-ES"/>
        </w:rPr>
        <w:t xml:space="preserve"> (</w:t>
      </w:r>
      <w:r w:rsidR="00EB4587">
        <w:rPr>
          <w:lang w:val="es-ES"/>
        </w:rPr>
        <w:t>OMM</w:t>
      </w:r>
      <w:r w:rsidR="00EB4587">
        <w:rPr>
          <w:lang w:val="es-ES"/>
        </w:rPr>
        <w:noBreakHyphen/>
        <w:t>Nº</w:t>
      </w:r>
      <w:r w:rsidR="0093047C">
        <w:rPr>
          <w:lang w:val="es-ES"/>
        </w:rPr>
        <w:t> </w:t>
      </w:r>
      <w:r>
        <w:rPr>
          <w:lang w:val="es-ES"/>
        </w:rPr>
        <w:t xml:space="preserve">485). </w:t>
      </w:r>
    </w:p>
    <w:p w14:paraId="35AC8BC0" w14:textId="4EB2964C" w:rsidR="003E5D1B" w:rsidRPr="008357EA" w:rsidRDefault="00CB6FB6">
      <w:pPr>
        <w:keepNext/>
        <w:spacing w:before="480" w:after="240" w:line="240" w:lineRule="exact"/>
        <w:ind w:left="1123" w:hanging="1123"/>
        <w:jc w:val="left"/>
        <w:outlineLvl w:val="3"/>
        <w:rPr>
          <w:rFonts w:eastAsiaTheme="minorEastAsia" w:cstheme="majorBidi"/>
          <w:b/>
          <w:bCs/>
          <w:caps/>
          <w:color w:val="000000" w:themeColor="text1"/>
          <w:lang w:val="es-419"/>
        </w:rPr>
      </w:pPr>
      <w:r>
        <w:rPr>
          <w:b/>
          <w:bCs/>
          <w:lang w:val="es-ES"/>
        </w:rPr>
        <w:t>FINALIDAD Y ÁMBITO DE APLICACIÓN</w:t>
      </w:r>
    </w:p>
    <w:p w14:paraId="377A20B0" w14:textId="2ECF7B99" w:rsidR="003E5D1B" w:rsidRPr="008357EA" w:rsidRDefault="00E26782">
      <w:pPr>
        <w:spacing w:after="240" w:line="240" w:lineRule="exact"/>
        <w:rPr>
          <w:rFonts w:eastAsiaTheme="minorEastAsia" w:cstheme="majorBidi"/>
          <w:color w:val="000000" w:themeColor="text1"/>
          <w:lang w:val="es-419"/>
        </w:rPr>
      </w:pPr>
      <w:r>
        <w:rPr>
          <w:lang w:val="es-ES"/>
        </w:rPr>
        <w:t xml:space="preserve">Junto con el </w:t>
      </w:r>
      <w:r w:rsidR="002D6434" w:rsidRPr="002D6434">
        <w:rPr>
          <w:i/>
          <w:iCs/>
          <w:lang w:val="es-ES"/>
        </w:rPr>
        <w:t>Manual del Sistema Mundial de Proceso de Datos y de Predicción</w:t>
      </w:r>
      <w:r>
        <w:rPr>
          <w:lang w:val="es-ES"/>
        </w:rPr>
        <w:t xml:space="preserve"> (</w:t>
      </w:r>
      <w:r w:rsidR="00EB4587">
        <w:rPr>
          <w:lang w:val="es-ES"/>
        </w:rPr>
        <w:t>OMM</w:t>
      </w:r>
      <w:r w:rsidR="00EB4587">
        <w:rPr>
          <w:lang w:val="es-ES"/>
        </w:rPr>
        <w:noBreakHyphen/>
        <w:t>Nº</w:t>
      </w:r>
      <w:r w:rsidR="0093047C">
        <w:rPr>
          <w:lang w:val="es-ES"/>
        </w:rPr>
        <w:t> </w:t>
      </w:r>
      <w:r>
        <w:rPr>
          <w:lang w:val="es-ES"/>
        </w:rPr>
        <w:t xml:space="preserve">485), la </w:t>
      </w:r>
      <w:r w:rsidR="00825D82" w:rsidRPr="00825D82">
        <w:rPr>
          <w:i/>
          <w:iCs/>
          <w:lang w:val="es-ES"/>
        </w:rPr>
        <w:t>Guía del GDPFS</w:t>
      </w:r>
      <w:r>
        <w:rPr>
          <w:lang w:val="es-ES"/>
        </w:rPr>
        <w:t xml:space="preserve"> tiene por objeto garantizar la debida uniformidad y normalización de los datos, la información</w:t>
      </w:r>
      <w:r w:rsidR="00810AAB">
        <w:rPr>
          <w:lang w:val="es-ES"/>
        </w:rPr>
        <w:t>,</w:t>
      </w:r>
      <w:r>
        <w:rPr>
          <w:lang w:val="es-ES"/>
        </w:rPr>
        <w:t xml:space="preserve"> y las prácticas, procedimientos y especificaciones en materia de </w:t>
      </w:r>
      <w:r w:rsidR="00DA1103">
        <w:rPr>
          <w:lang w:val="es-ES"/>
        </w:rPr>
        <w:t>comunica</w:t>
      </w:r>
      <w:r>
        <w:rPr>
          <w:lang w:val="es-ES"/>
        </w:rPr>
        <w:t xml:space="preserve">ción que los Miembros de la OMM emplean al </w:t>
      </w:r>
      <w:r w:rsidR="00DA1103">
        <w:rPr>
          <w:lang w:val="es-ES"/>
        </w:rPr>
        <w:t>poner en práctica</w:t>
      </w:r>
      <w:r>
        <w:rPr>
          <w:lang w:val="es-ES"/>
        </w:rPr>
        <w:t xml:space="preserve"> el </w:t>
      </w:r>
      <w:bookmarkStart w:id="8" w:name="_Hlk125045650"/>
      <w:r>
        <w:rPr>
          <w:lang w:val="es-ES"/>
        </w:rPr>
        <w:t xml:space="preserve">Sistema Mundial de Proceso de Datos y de Predicción </w:t>
      </w:r>
      <w:bookmarkEnd w:id="8"/>
      <w:r>
        <w:rPr>
          <w:lang w:val="es-ES"/>
        </w:rPr>
        <w:t xml:space="preserve">(GDPFS) como mecanismo de apoyo a la misión de la Organización. Como parte del </w:t>
      </w:r>
      <w:r w:rsidRPr="00AA4882">
        <w:rPr>
          <w:i/>
          <w:iCs/>
          <w:lang w:val="es-ES"/>
        </w:rPr>
        <w:t>Reglamento Técnico</w:t>
      </w:r>
      <w:r>
        <w:rPr>
          <w:lang w:val="es-ES"/>
        </w:rPr>
        <w:t xml:space="preserve"> (Anexo IV, </w:t>
      </w:r>
      <w:r w:rsidR="00EB4587">
        <w:rPr>
          <w:lang w:val="es-ES"/>
        </w:rPr>
        <w:t>OMM</w:t>
      </w:r>
      <w:r w:rsidR="00EB4587">
        <w:rPr>
          <w:lang w:val="es-ES"/>
        </w:rPr>
        <w:noBreakHyphen/>
        <w:t>Nº</w:t>
      </w:r>
      <w:r w:rsidR="0093047C">
        <w:rPr>
          <w:lang w:val="es-ES"/>
        </w:rPr>
        <w:t> </w:t>
      </w:r>
      <w:r>
        <w:rPr>
          <w:lang w:val="es-ES"/>
        </w:rPr>
        <w:t xml:space="preserve">49), el </w:t>
      </w:r>
      <w:r w:rsidR="00AA4882" w:rsidRPr="00AA4882">
        <w:rPr>
          <w:i/>
          <w:iCs/>
          <w:lang w:val="es-ES"/>
        </w:rPr>
        <w:t>Manual del GDPFS</w:t>
      </w:r>
      <w:r>
        <w:rPr>
          <w:lang w:val="es-ES"/>
        </w:rPr>
        <w:t xml:space="preserve"> contiene prácticas, procedimientos y especificaciones normalizados y obligatorios </w:t>
      </w:r>
      <w:r w:rsidR="007414E3">
        <w:rPr>
          <w:lang w:val="es-ES"/>
        </w:rPr>
        <w:t>que se aplican a</w:t>
      </w:r>
      <w:r>
        <w:rPr>
          <w:lang w:val="es-ES"/>
        </w:rPr>
        <w:t xml:space="preserve"> todos los sistemas operativos de proceso de datos y de predicción de los Miembros que la OMM ha designado como Centros Meteorológicos Mundiales </w:t>
      </w:r>
      <w:r w:rsidR="007414E3">
        <w:rPr>
          <w:lang w:val="es-ES"/>
        </w:rPr>
        <w:t xml:space="preserve">(CMM) </w:t>
      </w:r>
      <w:r>
        <w:rPr>
          <w:lang w:val="es-ES"/>
        </w:rPr>
        <w:t>o Centros Meteorológicos Regionales Especializados</w:t>
      </w:r>
      <w:r w:rsidR="007414E3">
        <w:rPr>
          <w:lang w:val="es-ES"/>
        </w:rPr>
        <w:t xml:space="preserve"> (CMRE)</w:t>
      </w:r>
      <w:r>
        <w:rPr>
          <w:lang w:val="es-ES"/>
        </w:rPr>
        <w:t xml:space="preserve">. En </w:t>
      </w:r>
      <w:r w:rsidR="007414E3">
        <w:rPr>
          <w:lang w:val="es-ES"/>
        </w:rPr>
        <w:t>el Manual</w:t>
      </w:r>
      <w:r>
        <w:rPr>
          <w:lang w:val="es-ES"/>
        </w:rPr>
        <w:t xml:space="preserve"> también se establecen las funciones de los Centros Meteorológicos Nacionales </w:t>
      </w:r>
      <w:r w:rsidR="007414E3">
        <w:rPr>
          <w:lang w:val="es-ES"/>
        </w:rPr>
        <w:t xml:space="preserve">(CMN) </w:t>
      </w:r>
      <w:r>
        <w:rPr>
          <w:lang w:val="es-ES"/>
        </w:rPr>
        <w:t xml:space="preserve">de los Miembros. La </w:t>
      </w:r>
      <w:r w:rsidR="00825D82" w:rsidRPr="00825D82">
        <w:rPr>
          <w:i/>
          <w:iCs/>
          <w:lang w:val="es-ES"/>
        </w:rPr>
        <w:t>Guía del GDPFS</w:t>
      </w:r>
      <w:r>
        <w:rPr>
          <w:lang w:val="es-ES"/>
        </w:rPr>
        <w:t xml:space="preserve"> contiene información adicional sobre prácticas, procedimientos y especificaciones recomendados que se invita a </w:t>
      </w:r>
      <w:r w:rsidR="007414E3">
        <w:rPr>
          <w:lang w:val="es-ES"/>
        </w:rPr>
        <w:t xml:space="preserve">que </w:t>
      </w:r>
      <w:r>
        <w:rPr>
          <w:lang w:val="es-ES"/>
        </w:rPr>
        <w:t xml:space="preserve">los Miembros </w:t>
      </w:r>
      <w:r w:rsidR="007414E3">
        <w:rPr>
          <w:lang w:val="es-ES"/>
        </w:rPr>
        <w:t>pongan en práctica</w:t>
      </w:r>
      <w:r>
        <w:rPr>
          <w:lang w:val="es-ES"/>
        </w:rPr>
        <w:t xml:space="preserve"> cuando creen productos y servicios </w:t>
      </w:r>
      <w:r w:rsidR="00453681">
        <w:rPr>
          <w:lang w:val="es-ES"/>
        </w:rPr>
        <w:t xml:space="preserve">de conformidad con </w:t>
      </w:r>
      <w:r>
        <w:rPr>
          <w:lang w:val="es-ES"/>
        </w:rPr>
        <w:t>el Reglamento Técnico de la OMM.</w:t>
      </w:r>
    </w:p>
    <w:p w14:paraId="6344D4E8" w14:textId="36E66303" w:rsidR="003E5D1B" w:rsidRPr="008357EA" w:rsidRDefault="00E26782">
      <w:pPr>
        <w:spacing w:after="240" w:line="240" w:lineRule="exact"/>
        <w:rPr>
          <w:rFonts w:eastAsiaTheme="minorEastAsia" w:cstheme="majorBidi"/>
          <w:color w:val="000000" w:themeColor="text1"/>
          <w:lang w:val="es-419"/>
        </w:rPr>
      </w:pPr>
      <w:r>
        <w:rPr>
          <w:lang w:val="es-ES"/>
        </w:rPr>
        <w:t xml:space="preserve">El GDPFS comparte aspectos comunes con diversas disciplinas afines de la OMM. </w:t>
      </w:r>
      <w:r w:rsidR="00453681">
        <w:rPr>
          <w:lang w:val="es-ES"/>
        </w:rPr>
        <w:t>Abarca</w:t>
      </w:r>
      <w:r>
        <w:rPr>
          <w:lang w:val="es-ES"/>
        </w:rPr>
        <w:t xml:space="preserve"> numerosas prácticas, procedimientos y especificaciones de la OMM que se definen sobre todo en publicaciones dedicadas de forma específica a ellos, por ejemplo, la </w:t>
      </w:r>
      <w:r w:rsidR="00453681" w:rsidRPr="00453681">
        <w:rPr>
          <w:i/>
          <w:iCs/>
          <w:lang w:val="es-ES"/>
        </w:rPr>
        <w:t>Guía del Sistema de Información de la OMM</w:t>
      </w:r>
      <w:r w:rsidR="00453681">
        <w:rPr>
          <w:lang w:val="es-ES"/>
        </w:rPr>
        <w:t xml:space="preserve"> (OMM</w:t>
      </w:r>
      <w:r w:rsidR="00EB4587">
        <w:rPr>
          <w:lang w:val="es-ES"/>
        </w:rPr>
        <w:noBreakHyphen/>
        <w:t>Nº</w:t>
      </w:r>
      <w:r w:rsidR="0093047C">
        <w:rPr>
          <w:lang w:val="es-ES"/>
        </w:rPr>
        <w:t> </w:t>
      </w:r>
      <w:r>
        <w:rPr>
          <w:lang w:val="es-ES"/>
        </w:rPr>
        <w:t xml:space="preserve">1061), la </w:t>
      </w:r>
      <w:r w:rsidR="00453681" w:rsidRPr="00453681">
        <w:rPr>
          <w:i/>
          <w:iCs/>
          <w:lang w:val="es-ES"/>
        </w:rPr>
        <w:t>Guía del Sistema Mundial Integrado de Sistemas de Observación de la OMM</w:t>
      </w:r>
      <w:r w:rsidR="00453681">
        <w:rPr>
          <w:lang w:val="es-ES"/>
        </w:rPr>
        <w:t xml:space="preserve"> (OMM</w:t>
      </w:r>
      <w:r w:rsidR="00EB4587">
        <w:rPr>
          <w:lang w:val="es-ES"/>
        </w:rPr>
        <w:noBreakHyphen/>
        <w:t>Nº</w:t>
      </w:r>
      <w:r w:rsidR="0093047C">
        <w:rPr>
          <w:lang w:val="es-ES"/>
        </w:rPr>
        <w:t> </w:t>
      </w:r>
      <w:r>
        <w:rPr>
          <w:lang w:val="es-ES"/>
        </w:rPr>
        <w:t xml:space="preserve">1165) y la </w:t>
      </w:r>
      <w:r w:rsidR="00B54B54" w:rsidRPr="00B54B54">
        <w:rPr>
          <w:i/>
          <w:iCs/>
          <w:lang w:val="es-ES"/>
        </w:rPr>
        <w:t>Guía para la aplicación de sistemas de gestión de la calidad para los Servicios Meteorológicos e Hidrológicos Nacionales y otros proveedores de servicios pertinentes</w:t>
      </w:r>
      <w:r w:rsidR="00B54B54">
        <w:rPr>
          <w:lang w:val="es-ES"/>
        </w:rPr>
        <w:t xml:space="preserve"> (OMM</w:t>
      </w:r>
      <w:r w:rsidR="00EB4587">
        <w:rPr>
          <w:lang w:val="es-ES"/>
        </w:rPr>
        <w:noBreakHyphen/>
        <w:t>Nº</w:t>
      </w:r>
      <w:r w:rsidR="0093047C">
        <w:rPr>
          <w:lang w:val="es-ES"/>
        </w:rPr>
        <w:t> </w:t>
      </w:r>
      <w:r>
        <w:rPr>
          <w:lang w:val="es-ES"/>
        </w:rPr>
        <w:t xml:space="preserve">1100). En </w:t>
      </w:r>
      <w:r w:rsidR="00C37096">
        <w:rPr>
          <w:lang w:val="es-ES"/>
        </w:rPr>
        <w:t>la sección</w:t>
      </w:r>
      <w:r>
        <w:rPr>
          <w:lang w:val="es-ES"/>
        </w:rPr>
        <w:t xml:space="preserve"> 1.10 de la </w:t>
      </w:r>
      <w:r w:rsidR="00C37096">
        <w:rPr>
          <w:lang w:val="es-ES"/>
        </w:rPr>
        <w:t>p</w:t>
      </w:r>
      <w:r>
        <w:rPr>
          <w:lang w:val="es-ES"/>
        </w:rPr>
        <w:t xml:space="preserve">arte I de </w:t>
      </w:r>
      <w:r w:rsidR="00C37096">
        <w:rPr>
          <w:lang w:val="es-ES"/>
        </w:rPr>
        <w:t>la presente</w:t>
      </w:r>
      <w:r>
        <w:rPr>
          <w:lang w:val="es-ES"/>
        </w:rPr>
        <w:t xml:space="preserve"> Guía se enumeran otras publicaciones relacionadas</w:t>
      </w:r>
      <w:r w:rsidR="0038717F">
        <w:rPr>
          <w:lang w:val="es-ES"/>
        </w:rPr>
        <w:t xml:space="preserve">. </w:t>
      </w:r>
    </w:p>
    <w:p w14:paraId="62A8A15F" w14:textId="3136B76E" w:rsidR="003E5D1B" w:rsidRPr="008357EA" w:rsidRDefault="00EB5D6F">
      <w:pPr>
        <w:keepNext/>
        <w:spacing w:before="480" w:after="240" w:line="240" w:lineRule="exact"/>
        <w:ind w:left="1123" w:hanging="1123"/>
        <w:jc w:val="left"/>
        <w:outlineLvl w:val="3"/>
        <w:rPr>
          <w:rFonts w:eastAsiaTheme="minorEastAsia" w:cstheme="majorBidi"/>
          <w:b/>
          <w:bCs/>
          <w:caps/>
          <w:color w:val="000000" w:themeColor="text1"/>
          <w:lang w:val="es-419"/>
        </w:rPr>
      </w:pPr>
      <w:r>
        <w:rPr>
          <w:b/>
          <w:bCs/>
          <w:lang w:val="es-ES"/>
        </w:rPr>
        <w:t xml:space="preserve">VENTAJAS DEL </w:t>
      </w:r>
      <w:r w:rsidRPr="00EB5D6F">
        <w:rPr>
          <w:b/>
          <w:bCs/>
          <w:lang w:val="es-ES"/>
        </w:rPr>
        <w:t>SISTEMA MUNDIAL DE PROCESO DE DATOS Y DE PREDICCIÓN</w:t>
      </w:r>
    </w:p>
    <w:p w14:paraId="7A439239" w14:textId="65AE6D5E" w:rsidR="003E5D1B" w:rsidRPr="008357EA" w:rsidRDefault="00E26782">
      <w:pPr>
        <w:spacing w:after="240" w:line="240" w:lineRule="exact"/>
        <w:rPr>
          <w:rFonts w:eastAsiaTheme="minorEastAsia" w:cstheme="majorBidi"/>
          <w:color w:val="000000" w:themeColor="text1"/>
          <w:lang w:val="es-419"/>
        </w:rPr>
      </w:pPr>
      <w:r>
        <w:rPr>
          <w:lang w:val="es-ES"/>
        </w:rPr>
        <w:t xml:space="preserve">El proceso de datos </w:t>
      </w:r>
      <w:r w:rsidR="00312169">
        <w:rPr>
          <w:lang w:val="es-ES"/>
        </w:rPr>
        <w:t xml:space="preserve">a escala mundial </w:t>
      </w:r>
      <w:r>
        <w:rPr>
          <w:lang w:val="es-ES"/>
        </w:rPr>
        <w:t xml:space="preserve">facilita el intercambio y la aplicación de análisis y predicciones numéricos. De ese modo fomenta la capacidad de los Miembros de la OMM para preparar y </w:t>
      </w:r>
      <w:r w:rsidR="00312169">
        <w:rPr>
          <w:lang w:val="es-ES"/>
        </w:rPr>
        <w:t>hacer</w:t>
      </w:r>
      <w:r>
        <w:rPr>
          <w:lang w:val="es-ES"/>
        </w:rPr>
        <w:t xml:space="preserve"> análisis y productos de predicción (que se usan en tiempo real y no real), así como alertas, advertencias y avisos. El GDPFS está a disposición de todos los Miembros y de los programas y asociados internacionales afines, y se apoya en la cultura </w:t>
      </w:r>
      <w:r w:rsidR="008A6431">
        <w:rPr>
          <w:lang w:val="es-ES"/>
        </w:rPr>
        <w:t xml:space="preserve">tradicional </w:t>
      </w:r>
      <w:r>
        <w:rPr>
          <w:lang w:val="es-ES"/>
        </w:rPr>
        <w:t xml:space="preserve">de colaboración de la OMM, así como en los avances de la ciencia y las tecnologías. </w:t>
      </w:r>
    </w:p>
    <w:p w14:paraId="0D4D974F" w14:textId="77777777" w:rsidR="003E5D1B" w:rsidRPr="008357EA" w:rsidRDefault="00E26782">
      <w:pPr>
        <w:spacing w:before="100" w:beforeAutospacing="1" w:after="100" w:afterAutospacing="1"/>
        <w:rPr>
          <w:rFonts w:cstheme="majorBidi"/>
          <w:color w:val="000000" w:themeColor="text1"/>
          <w:lang w:val="es-419"/>
        </w:rPr>
      </w:pPr>
      <w:r>
        <w:rPr>
          <w:lang w:val="es-ES"/>
        </w:rPr>
        <w:t xml:space="preserve">Los Miembros de la OMM esperan obtener beneficios concretos del GDPFS, a saber: </w:t>
      </w:r>
    </w:p>
    <w:p w14:paraId="74B27C40" w14:textId="0C4398E2" w:rsidR="003E5D1B" w:rsidRPr="008357EA" w:rsidRDefault="00E26782">
      <w:pPr>
        <w:widowControl w:val="0"/>
        <w:numPr>
          <w:ilvl w:val="0"/>
          <w:numId w:val="5"/>
        </w:numPr>
        <w:tabs>
          <w:tab w:val="clear" w:pos="1134"/>
        </w:tabs>
        <w:spacing w:before="100" w:beforeAutospacing="1" w:after="100" w:afterAutospacing="1" w:line="276" w:lineRule="auto"/>
        <w:jc w:val="left"/>
        <w:rPr>
          <w:rFonts w:eastAsiaTheme="minorEastAsia" w:cstheme="majorBidi"/>
          <w:lang w:val="es-419"/>
        </w:rPr>
      </w:pPr>
      <w:r>
        <w:rPr>
          <w:lang w:val="es-ES"/>
        </w:rPr>
        <w:t xml:space="preserve">Que </w:t>
      </w:r>
      <w:r w:rsidR="00312169">
        <w:rPr>
          <w:lang w:val="es-ES"/>
        </w:rPr>
        <w:t xml:space="preserve">haya más acceso </w:t>
      </w:r>
      <w:r>
        <w:rPr>
          <w:lang w:val="es-ES"/>
        </w:rPr>
        <w:t xml:space="preserve">a los datos, productos y servicios esenciales necesarios para </w:t>
      </w:r>
      <w:r w:rsidR="00A060A8">
        <w:rPr>
          <w:lang w:val="es-ES"/>
        </w:rPr>
        <w:t>monitorear</w:t>
      </w:r>
      <w:r>
        <w:rPr>
          <w:lang w:val="es-ES"/>
        </w:rPr>
        <w:t xml:space="preserve"> y predecir diversos aspectos del medio ambiente, entre ellos los peligros, y que se pueda</w:t>
      </w:r>
      <w:r w:rsidR="00312169">
        <w:rPr>
          <w:lang w:val="es-ES"/>
        </w:rPr>
        <w:t xml:space="preserve"> hacer un mejor uso de ellos</w:t>
      </w:r>
      <w:r>
        <w:rPr>
          <w:lang w:val="es-ES"/>
        </w:rPr>
        <w:t xml:space="preserve">. </w:t>
      </w:r>
    </w:p>
    <w:p w14:paraId="7E55992F" w14:textId="77777777" w:rsidR="003E5D1B" w:rsidRPr="008357EA" w:rsidRDefault="00E26782">
      <w:pPr>
        <w:widowControl w:val="0"/>
        <w:numPr>
          <w:ilvl w:val="0"/>
          <w:numId w:val="5"/>
        </w:numPr>
        <w:tabs>
          <w:tab w:val="clear" w:pos="1134"/>
        </w:tabs>
        <w:spacing w:before="100" w:beforeAutospacing="1" w:after="100" w:afterAutospacing="1" w:line="276" w:lineRule="auto"/>
        <w:jc w:val="left"/>
        <w:rPr>
          <w:rFonts w:eastAsiaTheme="minorEastAsia" w:cstheme="majorBidi"/>
          <w:lang w:val="es-419"/>
        </w:rPr>
      </w:pPr>
      <w:r>
        <w:rPr>
          <w:lang w:val="es-ES"/>
        </w:rPr>
        <w:lastRenderedPageBreak/>
        <w:t xml:space="preserve">Que se disponga de un catálogo de toda la gama de datos y productos, a fin de simplificar la búsqueda y garantizar un acceso equitativo conforme a las políticas de la OMM. </w:t>
      </w:r>
    </w:p>
    <w:p w14:paraId="34E29CAE" w14:textId="2C16B437" w:rsidR="003E5D1B" w:rsidRPr="008357EA" w:rsidRDefault="00E26782">
      <w:pPr>
        <w:widowControl w:val="0"/>
        <w:numPr>
          <w:ilvl w:val="0"/>
          <w:numId w:val="5"/>
        </w:numPr>
        <w:tabs>
          <w:tab w:val="clear" w:pos="1134"/>
        </w:tabs>
        <w:spacing w:before="100" w:beforeAutospacing="1" w:after="100" w:afterAutospacing="1" w:line="276" w:lineRule="auto"/>
        <w:jc w:val="left"/>
        <w:rPr>
          <w:rFonts w:eastAsiaTheme="minorEastAsia" w:cstheme="minorBidi"/>
          <w:lang w:val="es-419"/>
        </w:rPr>
      </w:pPr>
      <w:r>
        <w:rPr>
          <w:lang w:val="es-ES"/>
        </w:rPr>
        <w:t xml:space="preserve">Que los datos y productos </w:t>
      </w:r>
      <w:r w:rsidR="00C1435E">
        <w:rPr>
          <w:lang w:val="es-ES"/>
        </w:rPr>
        <w:t>respecto de los cuales la puntualidad es esencial</w:t>
      </w:r>
      <w:r>
        <w:rPr>
          <w:lang w:val="es-ES"/>
        </w:rPr>
        <w:t xml:space="preserve"> estén más disponibles en los centros nacionales de todos los países y</w:t>
      </w:r>
      <w:r w:rsidR="00312169">
        <w:rPr>
          <w:lang w:val="es-ES"/>
        </w:rPr>
        <w:t xml:space="preserve"> que</w:t>
      </w:r>
      <w:r>
        <w:rPr>
          <w:lang w:val="es-ES"/>
        </w:rPr>
        <w:t xml:space="preserve"> sean más exactos, de modo de asegurar la prestación eficaz de servicios a las poblaciones y economías de esos centros, así como la resiliencia a las consecuencias socioeconómicas de los fenómenos meteorológicos, climáticos, hídricos y demás fenómenos medioambientales extremos. De esa forma se contribuiría al desarrollo sostenible y se fomentaría la seguridad y la prosperidad mundiales. </w:t>
      </w:r>
    </w:p>
    <w:p w14:paraId="74A19BBF" w14:textId="407F395B" w:rsidR="003E5D1B" w:rsidRPr="008357EA" w:rsidRDefault="00F07D8D">
      <w:pPr>
        <w:numPr>
          <w:ilvl w:val="0"/>
          <w:numId w:val="5"/>
        </w:numPr>
        <w:spacing w:after="240" w:line="240" w:lineRule="exact"/>
        <w:rPr>
          <w:rFonts w:eastAsiaTheme="minorEastAsia" w:cstheme="majorBidi"/>
          <w:color w:val="000000" w:themeColor="text1"/>
          <w:lang w:val="es-419"/>
        </w:rPr>
      </w:pPr>
      <w:r>
        <w:rPr>
          <w:lang w:val="es-ES"/>
        </w:rPr>
        <w:t xml:space="preserve"> </w:t>
      </w:r>
      <w:r w:rsidR="004F6F84">
        <w:rPr>
          <w:lang w:val="es-ES"/>
        </w:rPr>
        <w:t xml:space="preserve">Que se tenga la posibilidad de acceder a los avances científicos y tecnológicos en meteorología y los campos afines a medida que estos surjan, y que se tenga la posibilidad de aprovecharlos. </w:t>
      </w:r>
    </w:p>
    <w:p w14:paraId="76E0D4BC" w14:textId="77777777" w:rsidR="003E5D1B" w:rsidRPr="008357EA" w:rsidRDefault="00E26782">
      <w:pPr>
        <w:keepNext/>
        <w:spacing w:before="480" w:after="240" w:line="240" w:lineRule="exact"/>
        <w:ind w:left="1123" w:hanging="1123"/>
        <w:jc w:val="left"/>
        <w:outlineLvl w:val="3"/>
        <w:rPr>
          <w:rFonts w:ascii="Segoe UI" w:eastAsia="Times New Roman" w:hAnsi="Segoe UI" w:cs="Segoe UI"/>
          <w:b/>
          <w:bCs/>
          <w:caps/>
          <w:color w:val="000000"/>
          <w:sz w:val="18"/>
          <w:szCs w:val="18"/>
          <w:lang w:val="es-419"/>
        </w:rPr>
      </w:pPr>
      <w:r>
        <w:rPr>
          <w:b/>
          <w:bCs/>
          <w:lang w:val="es-ES"/>
        </w:rPr>
        <w:t>PROCEDIMIENTOS PARA ENMENDAR LA GUÍA</w:t>
      </w:r>
      <w:r>
        <w:rPr>
          <w:lang w:val="es-ES"/>
        </w:rPr>
        <w:t xml:space="preserve"> </w:t>
      </w:r>
    </w:p>
    <w:p w14:paraId="2A4E354C" w14:textId="79D7CC1F" w:rsidR="003E5D1B" w:rsidRPr="008357EA" w:rsidRDefault="00E26782">
      <w:pPr>
        <w:spacing w:after="240" w:line="240" w:lineRule="exact"/>
        <w:rPr>
          <w:rFonts w:eastAsiaTheme="minorEastAsia" w:cstheme="majorBidi"/>
          <w:color w:val="000000"/>
          <w:bdr w:val="none" w:sz="0" w:space="0" w:color="auto" w:frame="1"/>
          <w:lang w:val="es-419"/>
        </w:rPr>
      </w:pPr>
      <w:r>
        <w:rPr>
          <w:lang w:val="es-ES"/>
        </w:rPr>
        <w:t>En su 76ª reunión (</w:t>
      </w:r>
      <w:r w:rsidR="005A15CA">
        <w:rPr>
          <w:lang w:val="es-ES"/>
        </w:rPr>
        <w:t>EC</w:t>
      </w:r>
      <w:r w:rsidR="005A15CA">
        <w:rPr>
          <w:lang w:val="es-ES"/>
        </w:rPr>
        <w:noBreakHyphen/>
      </w:r>
      <w:r>
        <w:rPr>
          <w:lang w:val="es-ES"/>
        </w:rPr>
        <w:t xml:space="preserve">76), el Consejo Ejecutivo aprobó la revisión de los procedimientos para enmendar el </w:t>
      </w:r>
      <w:r w:rsidR="00AA4882" w:rsidRPr="00AA4882">
        <w:rPr>
          <w:i/>
          <w:iCs/>
          <w:lang w:val="es-ES"/>
        </w:rPr>
        <w:t>Reglamento Técnico</w:t>
      </w:r>
      <w:r w:rsidR="00AA4882">
        <w:rPr>
          <w:lang w:val="es-ES"/>
        </w:rPr>
        <w:t xml:space="preserve"> (OMM</w:t>
      </w:r>
      <w:r w:rsidR="00EB4587">
        <w:rPr>
          <w:lang w:val="es-ES"/>
        </w:rPr>
        <w:noBreakHyphen/>
        <w:t>Nº</w:t>
      </w:r>
      <w:r w:rsidR="0093047C">
        <w:rPr>
          <w:lang w:val="es-ES"/>
        </w:rPr>
        <w:t> </w:t>
      </w:r>
      <w:r>
        <w:rPr>
          <w:lang w:val="es-ES"/>
        </w:rPr>
        <w:t xml:space="preserve">49), los manuales y sus correspondientes publicaciones no reglamentarias denominadas guías. La revisión se describirá en el apéndice de las disposiciones generales del </w:t>
      </w:r>
      <w:r w:rsidR="00AA4882" w:rsidRPr="00AA4882">
        <w:rPr>
          <w:i/>
          <w:iCs/>
          <w:lang w:val="es-ES"/>
        </w:rPr>
        <w:t>Reglamento Técnico</w:t>
      </w:r>
      <w:r w:rsidR="00AA4882">
        <w:rPr>
          <w:lang w:val="es-ES"/>
        </w:rPr>
        <w:t xml:space="preserve"> (OMM</w:t>
      </w:r>
      <w:r w:rsidR="00EB4587">
        <w:rPr>
          <w:lang w:val="es-ES"/>
        </w:rPr>
        <w:noBreakHyphen/>
        <w:t>Nº</w:t>
      </w:r>
      <w:r w:rsidR="0093047C">
        <w:rPr>
          <w:lang w:val="es-ES"/>
        </w:rPr>
        <w:t> </w:t>
      </w:r>
      <w:r>
        <w:rPr>
          <w:lang w:val="es-ES"/>
        </w:rPr>
        <w:t>49).</w:t>
      </w:r>
    </w:p>
    <w:p w14:paraId="155F67F9" w14:textId="77777777" w:rsidR="003E5D1B" w:rsidRPr="008357EA" w:rsidRDefault="00E26782">
      <w:pPr>
        <w:tabs>
          <w:tab w:val="center" w:pos="4513"/>
        </w:tabs>
        <w:spacing w:after="240" w:line="240" w:lineRule="exact"/>
        <w:rPr>
          <w:rFonts w:eastAsiaTheme="minorEastAsia" w:cstheme="majorBidi"/>
          <w:color w:val="000000" w:themeColor="text1"/>
          <w:lang w:val="es-419" w:eastAsia="zh-TW"/>
        </w:rPr>
      </w:pPr>
      <w:r w:rsidRPr="008357EA">
        <w:rPr>
          <w:rFonts w:eastAsiaTheme="minorEastAsia" w:cstheme="majorBidi"/>
          <w:color w:val="000000" w:themeColor="text1"/>
          <w:lang w:val="es-419" w:eastAsia="zh-TW"/>
        </w:rPr>
        <w:br w:type="page"/>
      </w:r>
    </w:p>
    <w:p w14:paraId="08247A40" w14:textId="017C63B7" w:rsidR="003E5D1B" w:rsidRDefault="00E26782" w:rsidP="00CD2BB2">
      <w:pPr>
        <w:pStyle w:val="TPSSection"/>
      </w:pPr>
      <w:r w:rsidRPr="00CD2BB2">
        <w:lastRenderedPageBreak/>
        <w:fldChar w:fldCharType="begin"/>
      </w:r>
      <w:r w:rsidRPr="00CD2BB2">
        <w:instrText xml:space="preserve"> MACROBUTTON TPS_Section SECTION: Chapter First</w:instrText>
      </w:r>
      <w:r w:rsidRPr="00CD2BB2">
        <w:rPr>
          <w:vanish/>
        </w:rPr>
        <w:fldChar w:fldCharType="begin"/>
      </w:r>
      <w:r w:rsidR="00CD2BB2">
        <w:rPr>
          <w:vanish/>
        </w:rPr>
        <w:instrText>Name="Chapter First" ID="ca299814-bee3-40b6-9958-e77181f35fe2"</w:instrText>
      </w:r>
      <w:r w:rsidRPr="00CD2BB2">
        <w:fldChar w:fldCharType="end"/>
      </w:r>
      <w:r w:rsidRPr="00CD2BB2">
        <w:fldChar w:fldCharType="end"/>
      </w:r>
    </w:p>
    <w:p w14:paraId="7A72A4F7" w14:textId="77777777" w:rsidR="003E5D1B" w:rsidRDefault="00E26782" w:rsidP="00CD2BB2">
      <w:pPr>
        <w:pStyle w:val="TPSSectionData"/>
      </w:pPr>
      <w:r w:rsidRPr="00CD2BB2">
        <w:fldChar w:fldCharType="begin"/>
      </w:r>
      <w:r w:rsidRPr="00CD2BB2">
        <w:instrText xml:space="preserve"> MACROBUTTON TPS_SectionField Chapter title in running head: PART I. ORGANIZATION AND RESPONSIBILITIES </w:instrText>
      </w:r>
      <w:r w:rsidRPr="00CD2BB2">
        <w:rPr>
          <w:vanish/>
        </w:rPr>
        <w:fldChar w:fldCharType="begin"/>
      </w:r>
      <w:r w:rsidRPr="00CD2BB2">
        <w:rPr>
          <w:vanish/>
        </w:rPr>
        <w:instrText>Name="Chapter title in running head" Value="PART I. OUTLINE OF THE WMO GLOBAL DATA-PROCESSING AND FORECASTING SYSTEM"</w:instrText>
      </w:r>
      <w:r w:rsidRPr="00CD2BB2">
        <w:fldChar w:fldCharType="end"/>
      </w:r>
      <w:r w:rsidRPr="00CD2BB2">
        <w:fldChar w:fldCharType="end"/>
      </w:r>
    </w:p>
    <w:p w14:paraId="1B2F8F05" w14:textId="5D59EE0D" w:rsidR="003E5D1B" w:rsidRPr="008357EA" w:rsidRDefault="00E26782">
      <w:pPr>
        <w:keepNext/>
        <w:tabs>
          <w:tab w:val="clear" w:pos="1134"/>
        </w:tabs>
        <w:spacing w:after="560" w:line="280" w:lineRule="exact"/>
        <w:jc w:val="left"/>
        <w:outlineLvl w:val="2"/>
        <w:rPr>
          <w:b/>
          <w:caps/>
          <w:color w:val="000000" w:themeColor="text1"/>
          <w:sz w:val="24"/>
          <w:szCs w:val="22"/>
          <w:lang w:val="es-419"/>
        </w:rPr>
      </w:pPr>
      <w:bookmarkStart w:id="9" w:name="_Toc113003281"/>
      <w:bookmarkStart w:id="10" w:name="_Toc113024406"/>
      <w:bookmarkStart w:id="11" w:name="_Toc117501938"/>
      <w:r>
        <w:rPr>
          <w:b/>
          <w:bCs/>
          <w:lang w:val="es-ES"/>
        </w:rPr>
        <w:t>PARTE I. ORGANIZACIÓN Y RESPONSABILIDADES</w:t>
      </w:r>
      <w:bookmarkEnd w:id="9"/>
      <w:bookmarkEnd w:id="10"/>
      <w:bookmarkEnd w:id="11"/>
    </w:p>
    <w:p w14:paraId="0A8E6CE4" w14:textId="72F2383F" w:rsidR="003E5D1B" w:rsidRPr="008357EA" w:rsidRDefault="00E26782">
      <w:pPr>
        <w:keepNext/>
        <w:tabs>
          <w:tab w:val="clear" w:pos="1134"/>
        </w:tabs>
        <w:spacing w:before="480" w:after="200" w:line="276" w:lineRule="auto"/>
        <w:ind w:left="1123" w:hanging="1123"/>
        <w:jc w:val="left"/>
        <w:outlineLvl w:val="3"/>
        <w:rPr>
          <w:rFonts w:eastAsiaTheme="minorHAnsi" w:cstheme="majorBidi"/>
          <w:b/>
          <w:bCs/>
          <w:caps/>
          <w:color w:val="000000" w:themeColor="text1"/>
          <w:lang w:val="es-419"/>
        </w:rPr>
      </w:pPr>
      <w:bookmarkStart w:id="12" w:name="_Toc113003282"/>
      <w:bookmarkStart w:id="13" w:name="_Toc113024407"/>
      <w:bookmarkStart w:id="14" w:name="_Toc117501939"/>
      <w:r>
        <w:rPr>
          <w:b/>
          <w:bCs/>
          <w:lang w:val="es-ES"/>
        </w:rPr>
        <w:t>1.1</w:t>
      </w:r>
      <w:r>
        <w:rPr>
          <w:lang w:val="es-ES"/>
        </w:rPr>
        <w:tab/>
      </w:r>
      <w:r w:rsidR="005D7CAB">
        <w:rPr>
          <w:b/>
          <w:bCs/>
          <w:lang w:val="es-ES"/>
        </w:rPr>
        <w:t>LA VISIÓN DEL SISTEMA MUNDIAL DE PROCESO DE DATOS Y DE PREDICCIÓN</w:t>
      </w:r>
      <w:bookmarkEnd w:id="12"/>
      <w:bookmarkEnd w:id="13"/>
      <w:bookmarkEnd w:id="14"/>
    </w:p>
    <w:p w14:paraId="14F4118A" w14:textId="58432025" w:rsidR="003E5D1B" w:rsidRPr="008357EA" w:rsidRDefault="00E26782">
      <w:pPr>
        <w:keepNext/>
        <w:spacing w:before="240" w:after="240" w:line="240" w:lineRule="exact"/>
        <w:ind w:left="1123" w:hanging="1123"/>
        <w:jc w:val="left"/>
        <w:outlineLvl w:val="4"/>
        <w:rPr>
          <w:b/>
          <w:bCs/>
          <w:color w:val="000000" w:themeColor="text1"/>
          <w:lang w:val="es-419"/>
        </w:rPr>
      </w:pPr>
      <w:bookmarkStart w:id="15" w:name="_Toc113003283"/>
      <w:bookmarkStart w:id="16" w:name="_Toc113024408"/>
      <w:bookmarkStart w:id="17" w:name="_Toc117501940"/>
      <w:r>
        <w:rPr>
          <w:b/>
          <w:bCs/>
          <w:lang w:val="es-ES"/>
        </w:rPr>
        <w:t>1.1.1</w:t>
      </w:r>
      <w:r>
        <w:rPr>
          <w:lang w:val="es-ES"/>
        </w:rPr>
        <w:tab/>
      </w:r>
      <w:r w:rsidR="005D7CAB">
        <w:rPr>
          <w:b/>
          <w:bCs/>
          <w:lang w:val="es-ES"/>
        </w:rPr>
        <w:t>¿</w:t>
      </w:r>
      <w:r w:rsidR="005143E4">
        <w:rPr>
          <w:b/>
          <w:bCs/>
          <w:lang w:val="es-ES"/>
        </w:rPr>
        <w:t>Qué es el Sistema Mundial de Proceso de Datos y de Predicción</w:t>
      </w:r>
      <w:r w:rsidR="005D7CAB">
        <w:rPr>
          <w:lang w:val="es-ES"/>
        </w:rPr>
        <w:t>?</w:t>
      </w:r>
      <w:bookmarkStart w:id="18" w:name="_p_27A86D77186ECF40B60120CD0FACB266"/>
      <w:bookmarkEnd w:id="15"/>
      <w:bookmarkEnd w:id="16"/>
      <w:bookmarkEnd w:id="17"/>
      <w:bookmarkEnd w:id="18"/>
    </w:p>
    <w:p w14:paraId="7251A323" w14:textId="74AFD101" w:rsidR="003E5D1B" w:rsidRPr="008357EA" w:rsidRDefault="00E26782">
      <w:pPr>
        <w:spacing w:after="240" w:line="240" w:lineRule="exact"/>
        <w:rPr>
          <w:rFonts w:eastAsiaTheme="minorEastAsia" w:cstheme="majorBidi"/>
          <w:color w:val="000000" w:themeColor="text1"/>
          <w:lang w:val="es-419"/>
        </w:rPr>
      </w:pPr>
      <w:r w:rsidRPr="00DF600F">
        <w:rPr>
          <w:rFonts w:eastAsiaTheme="minorEastAsia" w:cstheme="majorBidi"/>
          <w:color w:val="000000" w:themeColor="text1"/>
          <w:lang w:val="es-419" w:eastAsia="zh-TW"/>
        </w:rPr>
        <w:t>En las últimas décadas, los avances relacionados con la predicción numérica del tiempo han sido enormes, a saber</w:t>
      </w:r>
      <w:r>
        <w:rPr>
          <w:lang w:val="es-ES"/>
        </w:rPr>
        <w:t xml:space="preserve">: una mayor exactitud, una mayor resolución, un mayor tiempo de anticipación y una gama más amplia de aplicaciones pertinentes. En consecuencia, el énfasis en la meteorología, la hidrología, la oceanografía y los servicios climáticos operativos se ha desplazado hacia </w:t>
      </w:r>
      <w:r w:rsidR="00131DD2">
        <w:rPr>
          <w:lang w:val="es-ES"/>
        </w:rPr>
        <w:t>el uso</w:t>
      </w:r>
      <w:r>
        <w:rPr>
          <w:lang w:val="es-ES"/>
        </w:rPr>
        <w:t xml:space="preserve"> de aplicaciones y modelos numéricos cada vez más sofisticados y diversos, </w:t>
      </w:r>
      <w:r w:rsidR="00131DD2">
        <w:rPr>
          <w:lang w:val="es-ES"/>
        </w:rPr>
        <w:t>dirigidos</w:t>
      </w:r>
      <w:r>
        <w:rPr>
          <w:lang w:val="es-ES"/>
        </w:rPr>
        <w:t xml:space="preserve"> a una variedad cada vez mayor de usuarios</w:t>
      </w:r>
      <w:r w:rsidR="0038717F">
        <w:rPr>
          <w:lang w:val="es-ES"/>
        </w:rPr>
        <w:t xml:space="preserve">. </w:t>
      </w:r>
    </w:p>
    <w:p w14:paraId="40EC64E9" w14:textId="71B11C4D" w:rsidR="003E5D1B" w:rsidRPr="008357EA" w:rsidRDefault="00E26782">
      <w:pPr>
        <w:spacing w:after="240" w:line="240" w:lineRule="exact"/>
        <w:rPr>
          <w:rFonts w:eastAsiaTheme="minorEastAsia" w:cstheme="majorBidi"/>
          <w:color w:val="000000" w:themeColor="text1"/>
          <w:lang w:val="es-419"/>
        </w:rPr>
      </w:pPr>
      <w:r>
        <w:rPr>
          <w:lang w:val="es-ES"/>
        </w:rPr>
        <w:t xml:space="preserve">Ante todo, la precisión, la fiabilidad y el tiempo de anticipación cada vez mayores que ofrecen los sistemas de predicción numérica del tiempo llevaron a que las predicciones meteorológicas </w:t>
      </w:r>
      <w:r w:rsidR="00131DD2">
        <w:rPr>
          <w:lang w:val="es-ES"/>
        </w:rPr>
        <w:t xml:space="preserve">se usaran más </w:t>
      </w:r>
      <w:r>
        <w:rPr>
          <w:lang w:val="es-ES"/>
        </w:rPr>
        <w:t>en l</w:t>
      </w:r>
      <w:r w:rsidR="00131DD2">
        <w:rPr>
          <w:lang w:val="es-ES"/>
        </w:rPr>
        <w:t>o</w:t>
      </w:r>
      <w:r>
        <w:rPr>
          <w:lang w:val="es-ES"/>
        </w:rPr>
        <w:t>s últim</w:t>
      </w:r>
      <w:r w:rsidR="00131DD2">
        <w:rPr>
          <w:lang w:val="es-ES"/>
        </w:rPr>
        <w:t xml:space="preserve">os decenios, </w:t>
      </w:r>
      <w:r w:rsidR="00604D37">
        <w:rPr>
          <w:lang w:val="es-ES"/>
        </w:rPr>
        <w:t>algo que</w:t>
      </w:r>
      <w:r w:rsidR="00C51926">
        <w:rPr>
          <w:lang w:val="es-ES"/>
        </w:rPr>
        <w:t xml:space="preserve"> ocurrirá aún más</w:t>
      </w:r>
      <w:r>
        <w:rPr>
          <w:lang w:val="es-ES"/>
        </w:rPr>
        <w:t xml:space="preserve"> en el futuro. Los sistemas de predicción numérica del tiempo proporcionan una indicación precisa de los fenómenos meteorológicos extremos </w:t>
      </w:r>
      <w:r w:rsidR="00604D37">
        <w:rPr>
          <w:lang w:val="es-ES"/>
        </w:rPr>
        <w:t>en formación</w:t>
      </w:r>
      <w:r>
        <w:rPr>
          <w:lang w:val="es-ES"/>
        </w:rPr>
        <w:t xml:space="preserve">, por lo que son un componente muy importante de los programas de predicción y advertencia sobre </w:t>
      </w:r>
      <w:r w:rsidR="00CC4A43">
        <w:rPr>
          <w:lang w:val="es-ES"/>
        </w:rPr>
        <w:t>fenómenos</w:t>
      </w:r>
      <w:r>
        <w:rPr>
          <w:lang w:val="es-ES"/>
        </w:rPr>
        <w:t xml:space="preserve"> meteorológic</w:t>
      </w:r>
      <w:r w:rsidR="00CC4A43">
        <w:rPr>
          <w:lang w:val="es-ES"/>
        </w:rPr>
        <w:t>o</w:t>
      </w:r>
      <w:r>
        <w:rPr>
          <w:lang w:val="es-ES"/>
        </w:rPr>
        <w:t>s ordinari</w:t>
      </w:r>
      <w:r w:rsidR="00CC4A43">
        <w:rPr>
          <w:lang w:val="es-ES"/>
        </w:rPr>
        <w:t>o</w:t>
      </w:r>
      <w:r>
        <w:rPr>
          <w:lang w:val="es-ES"/>
        </w:rPr>
        <w:t xml:space="preserve">s y </w:t>
      </w:r>
      <w:r w:rsidR="00A70B44">
        <w:rPr>
          <w:lang w:val="es-ES"/>
        </w:rPr>
        <w:t>adverso</w:t>
      </w:r>
      <w:r>
        <w:rPr>
          <w:lang w:val="es-ES"/>
        </w:rPr>
        <w:t xml:space="preserve">s de los Servicios Meteorológicos e Hidrológicos Nacionales (SMHN). El proceso y la asimilación de datos </w:t>
      </w:r>
      <w:r w:rsidR="00604D37">
        <w:rPr>
          <w:lang w:val="es-ES"/>
        </w:rPr>
        <w:t>son</w:t>
      </w:r>
      <w:r>
        <w:rPr>
          <w:lang w:val="es-ES"/>
        </w:rPr>
        <w:t xml:space="preserve"> un componente esencial que añade valor a los datos observacionales que llegan al sistema</w:t>
      </w:r>
      <w:r w:rsidR="00604D37">
        <w:rPr>
          <w:lang w:val="es-ES"/>
        </w:rPr>
        <w:t>,</w:t>
      </w:r>
      <w:r>
        <w:rPr>
          <w:lang w:val="es-ES"/>
        </w:rPr>
        <w:t xml:space="preserve"> y permite</w:t>
      </w:r>
      <w:r w:rsidR="00604D37">
        <w:rPr>
          <w:lang w:val="es-ES"/>
        </w:rPr>
        <w:t>n</w:t>
      </w:r>
      <w:r>
        <w:rPr>
          <w:lang w:val="es-ES"/>
        </w:rPr>
        <w:t xml:space="preserve"> crear productos de análisis y predicción que </w:t>
      </w:r>
      <w:r w:rsidR="00604D37">
        <w:rPr>
          <w:lang w:val="es-ES"/>
        </w:rPr>
        <w:t>satisfacen</w:t>
      </w:r>
      <w:r>
        <w:rPr>
          <w:lang w:val="es-ES"/>
        </w:rPr>
        <w:t xml:space="preserve"> las necesidades de los usuarios</w:t>
      </w:r>
      <w:r w:rsidR="0038717F">
        <w:rPr>
          <w:lang w:val="es-ES"/>
        </w:rPr>
        <w:t xml:space="preserve">. </w:t>
      </w:r>
    </w:p>
    <w:p w14:paraId="47E80766" w14:textId="1B55B4DC" w:rsidR="003E5D1B" w:rsidRPr="00131DD2" w:rsidRDefault="00E26782">
      <w:pPr>
        <w:tabs>
          <w:tab w:val="clear" w:pos="1134"/>
        </w:tabs>
        <w:spacing w:after="240" w:line="200" w:lineRule="exact"/>
        <w:rPr>
          <w:color w:val="000000" w:themeColor="text1"/>
          <w:sz w:val="16"/>
          <w:szCs w:val="16"/>
          <w:lang w:val="es-419"/>
        </w:rPr>
      </w:pPr>
      <w:r w:rsidRPr="00131DD2">
        <w:rPr>
          <w:sz w:val="16"/>
          <w:szCs w:val="16"/>
          <w:lang w:val="es-ES"/>
        </w:rPr>
        <w:t xml:space="preserve">Nota: En el Convenio de la Organización Meteorológica Mundial, adoptado el 11 de octubre de 1947 y modificado en 2007, se reafirmó que "la misión de los Servicios Meteorológicos, Hidrometeorológicos e Hidrológicos Nacionales tiene una importancia vital para la observación y la comprensión del tiempo y del clima y para el suministro de servicios meteorológicos, hidrológicos y conexos en apoyo de las necesidades nacionales correspondientes". Los SMHN poseen y </w:t>
      </w:r>
      <w:r w:rsidR="00C310C3">
        <w:rPr>
          <w:sz w:val="16"/>
          <w:szCs w:val="16"/>
          <w:lang w:val="es-ES"/>
        </w:rPr>
        <w:t>manejan</w:t>
      </w:r>
      <w:r w:rsidRPr="00131DD2">
        <w:rPr>
          <w:sz w:val="16"/>
          <w:szCs w:val="16"/>
          <w:lang w:val="es-ES"/>
        </w:rPr>
        <w:t xml:space="preserve"> la mayor parte de la infraestructura (a saber, los sistemas de observación, información, y proceso de datos y predicción) que se necesita para prestar servicios meteorológicos, climáticos, hidrológicos y medioambientales conexos destinados a la protección de la vida y los bienes, la planificación y el desarrollo económicos, y la explotación y la gestión sostenibles de los recursos naturales. De acuerdo con el </w:t>
      </w:r>
      <w:r w:rsidRPr="00CD5893">
        <w:rPr>
          <w:i/>
          <w:iCs/>
          <w:sz w:val="16"/>
          <w:szCs w:val="16"/>
          <w:lang w:val="es-ES"/>
        </w:rPr>
        <w:t>Reglamento Técnico</w:t>
      </w:r>
      <w:r w:rsidRPr="00131DD2">
        <w:rPr>
          <w:sz w:val="16"/>
          <w:szCs w:val="16"/>
          <w:lang w:val="es-ES"/>
        </w:rPr>
        <w:t xml:space="preserve"> (</w:t>
      </w:r>
      <w:r w:rsidR="00EB4587" w:rsidRPr="00131DD2">
        <w:rPr>
          <w:sz w:val="16"/>
          <w:szCs w:val="16"/>
          <w:lang w:val="es-ES"/>
        </w:rPr>
        <w:t>OMM</w:t>
      </w:r>
      <w:r w:rsidR="00EB4587" w:rsidRPr="00131DD2">
        <w:rPr>
          <w:sz w:val="16"/>
          <w:szCs w:val="16"/>
          <w:lang w:val="es-ES"/>
        </w:rPr>
        <w:noBreakHyphen/>
        <w:t>Nº</w:t>
      </w:r>
      <w:r w:rsidR="0093047C" w:rsidRPr="00131DD2">
        <w:rPr>
          <w:sz w:val="16"/>
          <w:szCs w:val="16"/>
          <w:lang w:val="es-ES"/>
        </w:rPr>
        <w:t> </w:t>
      </w:r>
      <w:r w:rsidRPr="00131DD2">
        <w:rPr>
          <w:sz w:val="16"/>
          <w:szCs w:val="16"/>
          <w:lang w:val="es-ES"/>
        </w:rPr>
        <w:t xml:space="preserve">49), cada Miembro designará un Centro Meteorológico Nacional (CMN) dentro del Servicio Meteorológico e Hidrológico Nacional, que </w:t>
      </w:r>
      <w:r w:rsidR="00B648F6">
        <w:rPr>
          <w:sz w:val="16"/>
          <w:szCs w:val="16"/>
          <w:lang w:val="es-ES"/>
        </w:rPr>
        <w:t>se encargará</w:t>
      </w:r>
      <w:r w:rsidRPr="00131DD2">
        <w:rPr>
          <w:sz w:val="16"/>
          <w:szCs w:val="16"/>
          <w:lang w:val="es-ES"/>
        </w:rPr>
        <w:t xml:space="preserve"> de elaborar </w:t>
      </w:r>
      <w:r w:rsidR="006753E1" w:rsidRPr="00131DD2">
        <w:rPr>
          <w:sz w:val="16"/>
          <w:szCs w:val="16"/>
          <w:lang w:val="es-ES"/>
        </w:rPr>
        <w:t>predicciones</w:t>
      </w:r>
      <w:r w:rsidRPr="00131DD2">
        <w:rPr>
          <w:sz w:val="16"/>
          <w:szCs w:val="16"/>
          <w:lang w:val="es-ES"/>
        </w:rPr>
        <w:t xml:space="preserve"> y avisos en todos los plazos que hagan falta para satisfacer las necesidades de los Miembros.</w:t>
      </w:r>
    </w:p>
    <w:p w14:paraId="2B70BC35" w14:textId="1877AA4F" w:rsidR="003E5D1B" w:rsidRPr="008357EA" w:rsidRDefault="00E26782">
      <w:pPr>
        <w:spacing w:after="240" w:line="240" w:lineRule="exact"/>
        <w:rPr>
          <w:rFonts w:eastAsiaTheme="minorEastAsia" w:cstheme="majorBidi"/>
          <w:color w:val="000000" w:themeColor="text1"/>
          <w:lang w:val="es-419"/>
        </w:rPr>
      </w:pPr>
      <w:r>
        <w:rPr>
          <w:lang w:val="es-ES"/>
        </w:rPr>
        <w:t xml:space="preserve">La inversión destinada a sustentar una actividad integral de análisis y predicción numéricos exige desembolsar una gran cantidad de recursos. En consecuencia, la capacidad de los SMHN para llevar a cabo esa actividad varía enormemente. Si bien se observa que los SMHN de los países desarrollados están aprovechando al máximo el espectacular desarrollo o progreso que se está logrando en la predicción numérica del tiempo y el proceso de datos, los SMHN de los países en desarrollo (en particular de los países menos adelantados) no han progresado mucho debido a la escasez de presupuesto, a las deficiencias de la infraestructura, y a la falta de orientación y conocimientos especializados. </w:t>
      </w:r>
      <w:r w:rsidR="00B648F6">
        <w:rPr>
          <w:lang w:val="es-ES"/>
        </w:rPr>
        <w:t>Por consiguiente</w:t>
      </w:r>
      <w:r>
        <w:rPr>
          <w:lang w:val="es-ES"/>
        </w:rPr>
        <w:t xml:space="preserve">, ha habido una brecha cada vez mayor entre los sistemas de alerta temprana de los SMHN de los países desarrollados y </w:t>
      </w:r>
      <w:r w:rsidR="00B648F6">
        <w:rPr>
          <w:lang w:val="es-ES"/>
        </w:rPr>
        <w:t xml:space="preserve">los de los países </w:t>
      </w:r>
      <w:r>
        <w:rPr>
          <w:lang w:val="es-ES"/>
        </w:rPr>
        <w:t xml:space="preserve">en desarrollo, en particular </w:t>
      </w:r>
      <w:r w:rsidR="00B648F6">
        <w:rPr>
          <w:lang w:val="es-ES"/>
        </w:rPr>
        <w:t xml:space="preserve">los de </w:t>
      </w:r>
      <w:r>
        <w:rPr>
          <w:lang w:val="es-ES"/>
        </w:rPr>
        <w:t>los menos adelantados, en cuanto a la aplicación de tecnología avanzada (predicción numérica del tiempo, incluidos los sistemas de predicción por conjuntos). Por otra parte, la infraestructura de observación que todos los SMHN mantienen proporciona apoyo y beneficios fundamentales a una multitud de sistemas avanzados de predicción numérica, cuyos resultados deben compartir todos los Miembros de manera equitativa.</w:t>
      </w:r>
    </w:p>
    <w:p w14:paraId="1EF1032A" w14:textId="5C8CA569" w:rsidR="003E5D1B" w:rsidRPr="008357EA" w:rsidRDefault="00E26782">
      <w:pPr>
        <w:spacing w:after="240" w:line="240" w:lineRule="exact"/>
        <w:rPr>
          <w:rFonts w:eastAsiaTheme="minorEastAsia" w:cstheme="majorBidi"/>
          <w:color w:val="000000" w:themeColor="text1"/>
          <w:lang w:val="es-419"/>
        </w:rPr>
      </w:pPr>
      <w:r>
        <w:rPr>
          <w:lang w:val="es-ES"/>
        </w:rPr>
        <w:t xml:space="preserve">Por consiguiente, el Sistema Mundial de Proceso de Datos y de Predicción (GDPFS) permite que los Miembros de la OMM aprovechen los avances en materia de predicción numérica del tiempo </w:t>
      </w:r>
      <w:r w:rsidR="00B648F6">
        <w:rPr>
          <w:lang w:val="es-ES"/>
        </w:rPr>
        <w:t>al brindar</w:t>
      </w:r>
      <w:r>
        <w:rPr>
          <w:lang w:val="es-ES"/>
        </w:rPr>
        <w:t xml:space="preserve"> un marco mundial para el intercambio de datos, productos e información relacionados con la meteorología, la hidrología, la oceanografía y </w:t>
      </w:r>
      <w:r w:rsidR="00B648F6">
        <w:rPr>
          <w:lang w:val="es-ES"/>
        </w:rPr>
        <w:t>el clima</w:t>
      </w:r>
      <w:r>
        <w:rPr>
          <w:lang w:val="es-ES"/>
        </w:rPr>
        <w:t xml:space="preserve"> operativos. Coordina las capacidades </w:t>
      </w:r>
      <w:r>
        <w:rPr>
          <w:lang w:val="es-ES"/>
        </w:rPr>
        <w:lastRenderedPageBreak/>
        <w:t xml:space="preserve">de los Miembros para hacer análisis meteorológicos y elaborar productos de predicción, así como alertas, advertencias y avisos, y para ponerlos a disposición de todos los Miembros y de los programas y asociados internacionales afines. Además, controla los mecanismos de retroinformación </w:t>
      </w:r>
      <w:r w:rsidR="000876A1">
        <w:rPr>
          <w:lang w:val="es-ES"/>
        </w:rPr>
        <w:t>que se utilizan para promover su</w:t>
      </w:r>
      <w:r>
        <w:rPr>
          <w:lang w:val="es-ES"/>
        </w:rPr>
        <w:t xml:space="preserve"> </w:t>
      </w:r>
      <w:r w:rsidR="000876A1">
        <w:rPr>
          <w:lang w:val="es-ES"/>
        </w:rPr>
        <w:t xml:space="preserve">propio </w:t>
      </w:r>
      <w:r>
        <w:rPr>
          <w:lang w:val="es-ES"/>
        </w:rPr>
        <w:t xml:space="preserve">desarrollo continuo. El GDPFS tiene por objeto fomentar la armonización de los servicios y poner a disposición de todos los Miembros los datos procesados básicos que </w:t>
      </w:r>
      <w:r w:rsidR="000876A1">
        <w:rPr>
          <w:lang w:val="es-ES"/>
        </w:rPr>
        <w:t>necesiten</w:t>
      </w:r>
      <w:r>
        <w:rPr>
          <w:lang w:val="es-ES"/>
        </w:rPr>
        <w:t xml:space="preserve">, para </w:t>
      </w:r>
      <w:r w:rsidR="000876A1">
        <w:rPr>
          <w:lang w:val="es-ES"/>
        </w:rPr>
        <w:t>usar</w:t>
      </w:r>
      <w:r>
        <w:rPr>
          <w:lang w:val="es-ES"/>
        </w:rPr>
        <w:t xml:space="preserve"> </w:t>
      </w:r>
      <w:r w:rsidR="00B648F6">
        <w:rPr>
          <w:lang w:val="es-ES"/>
        </w:rPr>
        <w:t xml:space="preserve">tanto </w:t>
      </w:r>
      <w:r>
        <w:rPr>
          <w:lang w:val="es-ES"/>
        </w:rPr>
        <w:t>en tiempo real como en tiempo no real.</w:t>
      </w:r>
    </w:p>
    <w:p w14:paraId="1F1327CB" w14:textId="3E998847" w:rsidR="003E5D1B" w:rsidRPr="008357EA" w:rsidRDefault="00E26782">
      <w:pPr>
        <w:spacing w:after="240" w:line="240" w:lineRule="exact"/>
        <w:rPr>
          <w:rFonts w:eastAsiaTheme="minorEastAsia" w:cstheme="majorBidi"/>
          <w:color w:val="000000" w:themeColor="text1"/>
          <w:lang w:val="es-419"/>
        </w:rPr>
      </w:pPr>
      <w:r>
        <w:rPr>
          <w:lang w:val="es-ES"/>
        </w:rPr>
        <w:t>Los usos en tiempo real son operaciones en que la información, para ser pertinente, debe obtenerse y utilizarse o procesarse</w:t>
      </w:r>
      <w:r w:rsidR="007D6A2D">
        <w:rPr>
          <w:lang w:val="es-ES"/>
        </w:rPr>
        <w:t xml:space="preserve"> como máximo </w:t>
      </w:r>
      <w:r>
        <w:rPr>
          <w:lang w:val="es-ES"/>
        </w:rPr>
        <w:t>unos minutos o unas horas después de generada</w:t>
      </w:r>
      <w:r w:rsidR="007D6A2D">
        <w:rPr>
          <w:lang w:val="es-ES"/>
        </w:rPr>
        <w:t>,</w:t>
      </w:r>
      <w:r>
        <w:rPr>
          <w:lang w:val="es-ES"/>
        </w:rPr>
        <w:t xml:space="preserve"> según cu</w:t>
      </w:r>
      <w:r w:rsidR="007D6A2D">
        <w:rPr>
          <w:lang w:val="es-ES"/>
        </w:rPr>
        <w:t>á</w:t>
      </w:r>
      <w:r>
        <w:rPr>
          <w:lang w:val="es-ES"/>
        </w:rPr>
        <w:t xml:space="preserve">l sea el plazo de predicción. Esas operaciones corresponden principalmente al proceso diario de datos observacionales básicos para </w:t>
      </w:r>
      <w:r w:rsidR="007D6A2D">
        <w:rPr>
          <w:lang w:val="es-ES"/>
        </w:rPr>
        <w:t>hacer</w:t>
      </w:r>
      <w:r>
        <w:rPr>
          <w:lang w:val="es-ES"/>
        </w:rPr>
        <w:t xml:space="preserve"> análisis y predicciones con fines operativos. Los usos en tiempo no real son las operaciones que pueden ejecutarse en un período más prolongado. En ese caso, es necesario establecer procedimientos normalizados para almacenar y recuperar todo tipo de datos observacionales y procesados. </w:t>
      </w:r>
    </w:p>
    <w:p w14:paraId="3CEA5FCD" w14:textId="380A3873" w:rsidR="003E5D1B" w:rsidRPr="008357EA" w:rsidRDefault="00E26782">
      <w:pPr>
        <w:spacing w:after="240" w:line="240" w:lineRule="exact"/>
        <w:rPr>
          <w:rFonts w:eastAsia="Calibri" w:cs="Times New Roman"/>
          <w:color w:val="000000" w:themeColor="text1"/>
          <w:lang w:val="es-419"/>
        </w:rPr>
      </w:pPr>
      <w:r>
        <w:rPr>
          <w:lang w:val="es-ES"/>
        </w:rPr>
        <w:t xml:space="preserve">El rigor en que se basa el GDPFS, que </w:t>
      </w:r>
      <w:r w:rsidR="007D6A2D">
        <w:rPr>
          <w:lang w:val="es-ES"/>
        </w:rPr>
        <w:t>comprende</w:t>
      </w:r>
      <w:r>
        <w:rPr>
          <w:lang w:val="es-ES"/>
        </w:rPr>
        <w:t xml:space="preserve"> procedimientos formalizados de designación y</w:t>
      </w:r>
      <w:r w:rsidR="007D6A2D">
        <w:rPr>
          <w:lang w:val="es-ES"/>
        </w:rPr>
        <w:t xml:space="preserve"> de</w:t>
      </w:r>
      <w:r>
        <w:rPr>
          <w:lang w:val="es-ES"/>
        </w:rPr>
        <w:t xml:space="preserve"> verificación de predicciones, es esencial para asegurar la calidad y, por tanto, transmitir confianza en el uso de </w:t>
      </w:r>
      <w:r w:rsidR="00FE3065">
        <w:rPr>
          <w:lang w:val="es-ES"/>
        </w:rPr>
        <w:t>los</w:t>
      </w:r>
      <w:r>
        <w:rPr>
          <w:lang w:val="es-ES"/>
        </w:rPr>
        <w:t xml:space="preserve"> productos a la hora de tomar decisiones operativas.</w:t>
      </w:r>
    </w:p>
    <w:p w14:paraId="066A1923" w14:textId="496503E5" w:rsidR="003E5D1B" w:rsidRPr="008357EA" w:rsidRDefault="00E26782">
      <w:pPr>
        <w:spacing w:after="240" w:line="240" w:lineRule="exact"/>
        <w:rPr>
          <w:rFonts w:eastAsia="SimSun"/>
          <w:color w:val="000000" w:themeColor="text1"/>
          <w:lang w:val="es-419"/>
        </w:rPr>
      </w:pPr>
      <w:r>
        <w:rPr>
          <w:lang w:val="es-ES"/>
        </w:rPr>
        <w:t xml:space="preserve">El GDPFS funciona </w:t>
      </w:r>
      <w:r w:rsidR="00B404B5">
        <w:rPr>
          <w:lang w:val="es-ES"/>
        </w:rPr>
        <w:t>gracias a</w:t>
      </w:r>
      <w:r>
        <w:rPr>
          <w:lang w:val="es-ES"/>
        </w:rPr>
        <w:t xml:space="preserve"> un sistema integrado de Centros Meteorológicos Mundiales (CMM), Centros Meteorológicos Regionales Especializados (CMRE) y Centros Meteorológicos Nacionales (CMN) </w:t>
      </w:r>
      <w:r w:rsidR="00B404B5">
        <w:rPr>
          <w:lang w:val="es-ES"/>
        </w:rPr>
        <w:t>que disponen,</w:t>
      </w:r>
      <w:r>
        <w:rPr>
          <w:lang w:val="es-ES"/>
        </w:rPr>
        <w:t xml:space="preserve"> en el mayor grado posible</w:t>
      </w:r>
      <w:r w:rsidR="00B404B5">
        <w:rPr>
          <w:lang w:val="es-ES"/>
        </w:rPr>
        <w:t>,</w:t>
      </w:r>
      <w:r>
        <w:rPr>
          <w:lang w:val="es-ES"/>
        </w:rPr>
        <w:t xml:space="preserve"> de </w:t>
      </w:r>
      <w:r w:rsidR="00B404B5">
        <w:rPr>
          <w:lang w:val="es-ES"/>
        </w:rPr>
        <w:t xml:space="preserve">una </w:t>
      </w:r>
      <w:r>
        <w:rPr>
          <w:lang w:val="es-ES"/>
        </w:rPr>
        <w:t xml:space="preserve">infraestructura moderna, </w:t>
      </w:r>
      <w:r w:rsidR="00B404B5">
        <w:rPr>
          <w:lang w:val="es-ES"/>
        </w:rPr>
        <w:t>por ejemplo,</w:t>
      </w:r>
      <w:r>
        <w:rPr>
          <w:lang w:val="es-ES"/>
        </w:rPr>
        <w:t xml:space="preserve"> Internet de gran velocidad. El principal respaldo para el intercambio y la difusión de </w:t>
      </w:r>
      <w:r w:rsidR="001B224D">
        <w:rPr>
          <w:lang w:val="es-ES"/>
        </w:rPr>
        <w:t>los</w:t>
      </w:r>
      <w:r>
        <w:rPr>
          <w:lang w:val="es-ES"/>
        </w:rPr>
        <w:t xml:space="preserve"> datos (es decir,</w:t>
      </w:r>
      <w:r w:rsidR="001B224D">
        <w:rPr>
          <w:lang w:val="es-ES"/>
        </w:rPr>
        <w:t xml:space="preserve"> de</w:t>
      </w:r>
      <w:r>
        <w:rPr>
          <w:lang w:val="es-ES"/>
        </w:rPr>
        <w:t xml:space="preserve"> los productos del GDPFS) es el Sistema de Información de la OMM (WIS). Una de las características principales del WIS en comparación con el Sistema Mundial de Telecomunicación es la gran variedad de centros que se pueden conectar </w:t>
      </w:r>
      <w:r w:rsidR="001B224D">
        <w:rPr>
          <w:lang w:val="es-ES"/>
        </w:rPr>
        <w:t>a él</w:t>
      </w:r>
      <w:r>
        <w:rPr>
          <w:lang w:val="es-ES"/>
        </w:rPr>
        <w:t>: eso favorece el crecimiento de la gama de aplicaciones del GDPFS.</w:t>
      </w:r>
    </w:p>
    <w:p w14:paraId="2F530924" w14:textId="58A9CE0B" w:rsidR="003E5D1B" w:rsidRPr="00DF600F" w:rsidRDefault="00E26782">
      <w:pPr>
        <w:spacing w:after="240" w:line="240" w:lineRule="exact"/>
        <w:rPr>
          <w:rFonts w:eastAsiaTheme="minorEastAsia" w:cstheme="majorBidi"/>
          <w:color w:val="000000" w:themeColor="text1"/>
          <w:lang w:val="es-419"/>
        </w:rPr>
      </w:pPr>
      <w:r>
        <w:rPr>
          <w:lang w:val="es-ES"/>
        </w:rPr>
        <w:t xml:space="preserve">Al garantizar que todos los Miembros puedan acceder a los productos de análisis y predicción de la manera más equitativa y eficiente, el GDPFS fomenta la resiliencia </w:t>
      </w:r>
      <w:r w:rsidR="001B224D">
        <w:rPr>
          <w:lang w:val="es-ES"/>
        </w:rPr>
        <w:t>ante</w:t>
      </w:r>
      <w:r>
        <w:rPr>
          <w:lang w:val="es-ES"/>
        </w:rPr>
        <w:t xml:space="preserve"> las consecuencias socioeconómicas de los fenómenos meteorológicos, climáticos, hídricos y demás fenómenos medioambientales extremos, y apuntala el desarrollo sostenible mediante la prestación de los mejores servicios posibles. En otras palabras, el GDPFS fomenta directamente la seguridad y la </w:t>
      </w:r>
      <w:r w:rsidRPr="00DF600F">
        <w:rPr>
          <w:lang w:val="es-ES"/>
        </w:rPr>
        <w:t>prosperidad mundiales.</w:t>
      </w:r>
    </w:p>
    <w:p w14:paraId="1F92711D" w14:textId="5E5440F9" w:rsidR="003E5D1B" w:rsidRPr="00DF600F" w:rsidRDefault="00E26782">
      <w:pPr>
        <w:keepNext/>
        <w:spacing w:before="240" w:after="240" w:line="240" w:lineRule="exact"/>
        <w:ind w:left="1123" w:hanging="1123"/>
        <w:jc w:val="left"/>
        <w:outlineLvl w:val="4"/>
        <w:rPr>
          <w:b/>
          <w:bCs/>
          <w:color w:val="000000" w:themeColor="text1"/>
          <w:lang w:val="es-419"/>
        </w:rPr>
      </w:pPr>
      <w:bookmarkStart w:id="19" w:name="_Toc113003284"/>
      <w:bookmarkStart w:id="20" w:name="_Toc113024409"/>
      <w:bookmarkStart w:id="21" w:name="_Toc117501941"/>
      <w:r w:rsidRPr="00DF600F">
        <w:rPr>
          <w:b/>
          <w:bCs/>
          <w:lang w:val="es-ES"/>
        </w:rPr>
        <w:t>1.1.2</w:t>
      </w:r>
      <w:r w:rsidRPr="00DF600F">
        <w:rPr>
          <w:lang w:val="es-ES"/>
        </w:rPr>
        <w:tab/>
      </w:r>
      <w:r w:rsidRPr="00DF600F">
        <w:rPr>
          <w:b/>
          <w:bCs/>
          <w:lang w:val="es-ES"/>
        </w:rPr>
        <w:t>La historia del Sistema Mundial de Proceso de Datos y de Predicción</w:t>
      </w:r>
      <w:bookmarkEnd w:id="19"/>
      <w:bookmarkEnd w:id="20"/>
      <w:bookmarkEnd w:id="21"/>
    </w:p>
    <w:p w14:paraId="500A2081" w14:textId="17EECE34" w:rsidR="003E5D1B" w:rsidRPr="008357EA" w:rsidRDefault="00E26782">
      <w:pPr>
        <w:spacing w:after="240" w:line="240" w:lineRule="exact"/>
        <w:rPr>
          <w:rFonts w:eastAsiaTheme="minorEastAsia" w:cstheme="majorBidi"/>
          <w:color w:val="000000" w:themeColor="text1"/>
          <w:lang w:val="es-419"/>
        </w:rPr>
      </w:pPr>
      <w:r w:rsidRPr="00DF600F">
        <w:rPr>
          <w:lang w:val="es-ES"/>
        </w:rPr>
        <w:t>En el decimosexto período de sesiones de la Asamblea General de las Naciones Unidas (diciembre de 1961), se aprobó la Resolución 1721, "Cooperación internacional para la utilización del espacio ultraterrestre con fines pacíficos", en la que se pedía a la OMM que emprendiera un estudio de las medidas destinadas a fomentar la ciencia y la tecnología atmosféricas, y a desarrollar los medios de predicción meteorológica</w:t>
      </w:r>
      <w:r w:rsidR="0038717F" w:rsidRPr="00DF600F">
        <w:rPr>
          <w:lang w:val="es-ES"/>
        </w:rPr>
        <w:t xml:space="preserve">. </w:t>
      </w:r>
      <w:r w:rsidRPr="00DF600F">
        <w:rPr>
          <w:lang w:val="es-ES"/>
        </w:rPr>
        <w:t>En respuesta a ese pedido, en el Cuarto Congreso Meteorológico Mundial de 1963 se creó la Vigilancia</w:t>
      </w:r>
      <w:r>
        <w:rPr>
          <w:lang w:val="es-ES"/>
        </w:rPr>
        <w:t xml:space="preserve"> Meteorológica Mundial, integrada por el GDPFS (entonces denominado Sistema Mundial de Proceso de Datos, SMPD), el Sistema Mundial de Observación (ahora ampliado y convertido en el Sistema Mundial Integrado de Sistemas de Observación de la OMM, WIGOS), y el Sistema Mundial de Telecomunicación (ahora ampliado y convertido en el Sistema de Información de la OMM, WIS), a los efectos de recopilar, analizar y difundir datos meteorológicos y productos procesados. En el Decimocuarto Congreso Meteorológico Mundial de 2003 se añadió el término "predicción" a la denominación del Sistema Mundial de Proceso de Datos y se llegó a la denominación del GDPFS moderno. Esa modificación reflejaba avances muy sustanciales en cuanto a la predicción numérica, así como la necesidad de priorizar y fomentar su aplicación a los problemas del mundo real.</w:t>
      </w:r>
    </w:p>
    <w:p w14:paraId="2F8DCCD5" w14:textId="388FC517" w:rsidR="003E5D1B" w:rsidRPr="008357EA" w:rsidRDefault="00E26782">
      <w:pPr>
        <w:spacing w:after="240" w:line="240" w:lineRule="exact"/>
        <w:rPr>
          <w:rFonts w:eastAsiaTheme="minorEastAsia" w:cstheme="majorBidi"/>
          <w:color w:val="000000" w:themeColor="text1"/>
          <w:lang w:val="es-419"/>
        </w:rPr>
      </w:pPr>
      <w:r>
        <w:rPr>
          <w:lang w:val="es-ES"/>
        </w:rPr>
        <w:t xml:space="preserve">La mejora continua de la </w:t>
      </w:r>
      <w:r w:rsidR="00D237EE">
        <w:rPr>
          <w:lang w:val="es-ES"/>
        </w:rPr>
        <w:t>exactitud</w:t>
      </w:r>
      <w:r>
        <w:rPr>
          <w:lang w:val="es-ES"/>
        </w:rPr>
        <w:t xml:space="preserve">, la resolución y la </w:t>
      </w:r>
      <w:r w:rsidR="00157868">
        <w:rPr>
          <w:lang w:val="es-ES"/>
        </w:rPr>
        <w:t>gama de aplicaciones</w:t>
      </w:r>
      <w:r>
        <w:rPr>
          <w:lang w:val="es-ES"/>
        </w:rPr>
        <w:t xml:space="preserve"> de la predicción numérica ha llevado a que el énfasis en la gestión de esas funciones aumentara de forma permanente</w:t>
      </w:r>
      <w:r w:rsidR="00157868" w:rsidRPr="00157868">
        <w:rPr>
          <w:lang w:val="es-ES"/>
        </w:rPr>
        <w:t xml:space="preserve"> </w:t>
      </w:r>
      <w:r w:rsidR="00157868">
        <w:rPr>
          <w:lang w:val="es-ES"/>
        </w:rPr>
        <w:t>dentro del GDPFS</w:t>
      </w:r>
      <w:r>
        <w:rPr>
          <w:lang w:val="es-ES"/>
        </w:rPr>
        <w:t xml:space="preserve">. En 2019 se publicó una revisión </w:t>
      </w:r>
      <w:r w:rsidR="00157868">
        <w:rPr>
          <w:lang w:val="es-ES"/>
        </w:rPr>
        <w:t xml:space="preserve">importante </w:t>
      </w:r>
      <w:r>
        <w:rPr>
          <w:lang w:val="es-ES"/>
        </w:rPr>
        <w:t xml:space="preserve">del </w:t>
      </w:r>
      <w:r w:rsidR="002D6434" w:rsidRPr="002D6434">
        <w:rPr>
          <w:i/>
          <w:iCs/>
          <w:lang w:val="es-ES"/>
        </w:rPr>
        <w:t xml:space="preserve">Manual del </w:t>
      </w:r>
      <w:r w:rsidR="002D6434" w:rsidRPr="002D6434">
        <w:rPr>
          <w:i/>
          <w:iCs/>
          <w:lang w:val="es-ES"/>
        </w:rPr>
        <w:lastRenderedPageBreak/>
        <w:t>Sistema Mundial de Proceso de Datos y de Predicción</w:t>
      </w:r>
      <w:r>
        <w:rPr>
          <w:lang w:val="es-ES"/>
        </w:rPr>
        <w:t xml:space="preserve"> (</w:t>
      </w:r>
      <w:r w:rsidR="00EB4587">
        <w:rPr>
          <w:lang w:val="es-ES"/>
        </w:rPr>
        <w:t>OMM</w:t>
      </w:r>
      <w:r w:rsidR="00EB4587">
        <w:rPr>
          <w:lang w:val="es-ES"/>
        </w:rPr>
        <w:noBreakHyphen/>
        <w:t>Nº</w:t>
      </w:r>
      <w:r w:rsidR="0093047C">
        <w:rPr>
          <w:lang w:val="es-ES"/>
        </w:rPr>
        <w:t> </w:t>
      </w:r>
      <w:r>
        <w:rPr>
          <w:lang w:val="es-ES"/>
        </w:rPr>
        <w:t>485), y esa nueva edición tiene un diseño modular que permite perfeccionar el sistema de forma continua</w:t>
      </w:r>
      <w:r w:rsidR="0038717F">
        <w:rPr>
          <w:lang w:val="es-ES"/>
        </w:rPr>
        <w:t xml:space="preserve">. </w:t>
      </w:r>
    </w:p>
    <w:p w14:paraId="6DF7C44B" w14:textId="335BFB5D" w:rsidR="003E5D1B" w:rsidRPr="008357EA" w:rsidRDefault="00E26782">
      <w:pPr>
        <w:keepNext/>
        <w:spacing w:before="240" w:after="240" w:line="240" w:lineRule="exact"/>
        <w:ind w:left="1123" w:hanging="1123"/>
        <w:jc w:val="left"/>
        <w:outlineLvl w:val="4"/>
        <w:rPr>
          <w:b/>
          <w:bCs/>
          <w:color w:val="000000" w:themeColor="text1"/>
          <w:lang w:val="es-419"/>
        </w:rPr>
      </w:pPr>
      <w:bookmarkStart w:id="22" w:name="_Toc113003285"/>
      <w:bookmarkStart w:id="23" w:name="_Toc113024410"/>
      <w:bookmarkStart w:id="24" w:name="_Toc117501942"/>
      <w:r>
        <w:rPr>
          <w:b/>
          <w:bCs/>
          <w:lang w:val="es-ES"/>
        </w:rPr>
        <w:t>1.1.3</w:t>
      </w:r>
      <w:r>
        <w:rPr>
          <w:lang w:val="es-ES"/>
        </w:rPr>
        <w:tab/>
      </w:r>
      <w:r>
        <w:rPr>
          <w:lang w:val="es-ES"/>
        </w:rPr>
        <w:tab/>
      </w:r>
      <w:r>
        <w:rPr>
          <w:b/>
          <w:bCs/>
          <w:lang w:val="es-ES"/>
        </w:rPr>
        <w:t>Hacia el Sistema Mundial de Proceso de Datos y de Predicción sin Discontinuidad</w:t>
      </w:r>
      <w:r>
        <w:rPr>
          <w:lang w:val="es-ES"/>
        </w:rPr>
        <w:t xml:space="preserve"> </w:t>
      </w:r>
      <w:bookmarkStart w:id="25" w:name="_p_D6F1911076E9F4488CFE71B0B29FEE57"/>
      <w:bookmarkEnd w:id="22"/>
      <w:bookmarkEnd w:id="23"/>
      <w:bookmarkEnd w:id="24"/>
      <w:bookmarkEnd w:id="25"/>
    </w:p>
    <w:p w14:paraId="553264EF" w14:textId="77777777" w:rsidR="003E5D1B" w:rsidRPr="008357EA" w:rsidRDefault="00E26782">
      <w:pPr>
        <w:spacing w:after="240" w:line="240" w:lineRule="exact"/>
        <w:rPr>
          <w:rFonts w:eastAsiaTheme="minorEastAsia" w:cstheme="majorBidi"/>
          <w:color w:val="000000" w:themeColor="text1"/>
          <w:lang w:val="es-419"/>
        </w:rPr>
      </w:pPr>
      <w:r>
        <w:rPr>
          <w:lang w:val="es-ES"/>
        </w:rPr>
        <w:t>En la 68ª reunión del Consejo Ejecutivo de la OMM, que se celebró en 2016, se respaldó la visión de un Sistema Mundial de Proceso de Datos y de Predicción sin Discontinuidad que tuviera las siguientes características:</w:t>
      </w:r>
    </w:p>
    <w:p w14:paraId="0957100D" w14:textId="4066090E" w:rsidR="003E5D1B" w:rsidRPr="008357EA" w:rsidRDefault="00E26782">
      <w:pPr>
        <w:tabs>
          <w:tab w:val="clear" w:pos="1134"/>
          <w:tab w:val="left" w:pos="960"/>
        </w:tabs>
        <w:spacing w:after="240" w:line="240" w:lineRule="exact"/>
        <w:ind w:left="960" w:hanging="480"/>
        <w:rPr>
          <w:color w:val="000000" w:themeColor="text1"/>
          <w:szCs w:val="22"/>
          <w:lang w:val="es-419"/>
        </w:rPr>
      </w:pPr>
      <w:r>
        <w:rPr>
          <w:lang w:val="es-ES"/>
        </w:rPr>
        <w:t>a)</w:t>
      </w:r>
      <w:r>
        <w:rPr>
          <w:lang w:val="es-ES"/>
        </w:rPr>
        <w:tab/>
        <w:t xml:space="preserve">Sobre la base de la arquitectura existente, el GDPFS sin Discontinuidad consistiría en un ecosistema flexible y adaptable de centros independientes que promovería y fortalecería la predicción medioambiental, </w:t>
      </w:r>
      <w:r w:rsidR="00046126">
        <w:rPr>
          <w:lang w:val="es-ES"/>
        </w:rPr>
        <w:t>pondría</w:t>
      </w:r>
      <w:r>
        <w:rPr>
          <w:lang w:val="es-ES"/>
        </w:rPr>
        <w:t xml:space="preserve"> a disposición predicciones basadas en repercusiones y avisos basados en el riesgo, </w:t>
      </w:r>
      <w:r w:rsidR="00046126">
        <w:rPr>
          <w:lang w:val="es-ES"/>
        </w:rPr>
        <w:t>y permitiría</w:t>
      </w:r>
      <w:r>
        <w:rPr>
          <w:lang w:val="es-ES"/>
        </w:rPr>
        <w:t xml:space="preserve"> así que los Miembros y asociados </w:t>
      </w:r>
      <w:r w:rsidR="00046126">
        <w:rPr>
          <w:lang w:val="es-ES"/>
        </w:rPr>
        <w:t>tomaran</w:t>
      </w:r>
      <w:r>
        <w:rPr>
          <w:lang w:val="es-ES"/>
        </w:rPr>
        <w:t xml:space="preserve"> decisiones </w:t>
      </w:r>
      <w:r w:rsidR="00046126">
        <w:rPr>
          <w:lang w:val="es-ES"/>
        </w:rPr>
        <w:t>más fundamentadas</w:t>
      </w:r>
      <w:r>
        <w:rPr>
          <w:lang w:val="es-ES"/>
        </w:rPr>
        <w:t>.</w:t>
      </w:r>
    </w:p>
    <w:p w14:paraId="6C0F736C" w14:textId="5F6C8509" w:rsidR="003E5D1B" w:rsidRPr="008357EA" w:rsidRDefault="00E26782">
      <w:pPr>
        <w:tabs>
          <w:tab w:val="clear" w:pos="1134"/>
          <w:tab w:val="left" w:pos="960"/>
        </w:tabs>
        <w:spacing w:after="240" w:line="240" w:lineRule="exact"/>
        <w:ind w:left="960" w:hanging="480"/>
        <w:rPr>
          <w:rFonts w:eastAsiaTheme="minorEastAsia" w:cstheme="majorBidi"/>
          <w:color w:val="000000" w:themeColor="text1"/>
          <w:szCs w:val="22"/>
          <w:lang w:val="es-419"/>
        </w:rPr>
      </w:pPr>
      <w:r>
        <w:rPr>
          <w:lang w:val="es-ES"/>
        </w:rPr>
        <w:t>b)</w:t>
      </w:r>
      <w:r>
        <w:rPr>
          <w:lang w:val="es-ES"/>
        </w:rPr>
        <w:tab/>
        <w:t xml:space="preserve">El GDPFS sin Discontinuidad proporcionaría interfaces normalizadas de vanguardia para facilitar las asociaciones y la colaboración a </w:t>
      </w:r>
      <w:r w:rsidR="00046126">
        <w:rPr>
          <w:lang w:val="es-ES"/>
        </w:rPr>
        <w:t>escala</w:t>
      </w:r>
      <w:r>
        <w:rPr>
          <w:lang w:val="es-ES"/>
        </w:rPr>
        <w:t xml:space="preserve"> mundial y regional entre las jurisdicciones, el mundo académico y el sector privado</w:t>
      </w:r>
      <w:r w:rsidR="00046126">
        <w:rPr>
          <w:lang w:val="es-ES"/>
        </w:rPr>
        <w:t>,</w:t>
      </w:r>
      <w:r>
        <w:rPr>
          <w:lang w:val="es-ES"/>
        </w:rPr>
        <w:t xml:space="preserve"> a fin de acceder a información conexa pertinente para el mandato de la OMM y </w:t>
      </w:r>
      <w:r w:rsidR="00046126">
        <w:rPr>
          <w:lang w:val="es-ES"/>
        </w:rPr>
        <w:t xml:space="preserve">de </w:t>
      </w:r>
      <w:r>
        <w:rPr>
          <w:lang w:val="es-ES"/>
        </w:rPr>
        <w:t>ponerla a disposición en todas las escalas temporales y los ámbitos del sistema Tierra.</w:t>
      </w:r>
    </w:p>
    <w:p w14:paraId="27CBF8FC" w14:textId="77777777" w:rsidR="003E5D1B" w:rsidRPr="008357EA" w:rsidRDefault="00E26782">
      <w:pPr>
        <w:tabs>
          <w:tab w:val="clear" w:pos="1134"/>
          <w:tab w:val="left" w:pos="960"/>
        </w:tabs>
        <w:spacing w:after="240" w:line="240" w:lineRule="exact"/>
        <w:ind w:left="960" w:hanging="480"/>
        <w:rPr>
          <w:rFonts w:eastAsiaTheme="minorEastAsia" w:cstheme="majorBidi"/>
          <w:color w:val="000000" w:themeColor="text1"/>
          <w:szCs w:val="22"/>
          <w:lang w:val="es-419"/>
        </w:rPr>
      </w:pPr>
      <w:r>
        <w:rPr>
          <w:lang w:val="es-ES"/>
        </w:rPr>
        <w:t>c)</w:t>
      </w:r>
      <w:r>
        <w:rPr>
          <w:lang w:val="es-ES"/>
        </w:rPr>
        <w:tab/>
        <w:t>El GDPFS sin Discontinuidad proporcionaría, en la medida de lo posible, datos, productos y servicios meteorológicos, climáticos, hidrológicos y medioambientales conexos de manera autorizada, gratuita y abierta, y de forma viable y sostenible, velando por que ningún Miembro quedara relegado.</w:t>
      </w:r>
    </w:p>
    <w:p w14:paraId="571BB409" w14:textId="6138A513" w:rsidR="003E5D1B" w:rsidRPr="008357EA" w:rsidRDefault="00E26782">
      <w:pPr>
        <w:spacing w:after="240" w:line="240" w:lineRule="exact"/>
        <w:rPr>
          <w:rFonts w:eastAsiaTheme="minorEastAsia" w:cstheme="majorBidi"/>
          <w:color w:val="000000" w:themeColor="text1"/>
          <w:lang w:val="es-419"/>
        </w:rPr>
      </w:pPr>
      <w:r>
        <w:rPr>
          <w:lang w:val="es-ES"/>
        </w:rPr>
        <w:t xml:space="preserve">Tanto la edición de 2019 del </w:t>
      </w:r>
      <w:r w:rsidR="00AA4882" w:rsidRPr="00AA4882">
        <w:rPr>
          <w:i/>
          <w:iCs/>
          <w:lang w:val="es-ES"/>
        </w:rPr>
        <w:t>Manual del GDPFS</w:t>
      </w:r>
      <w:r>
        <w:rPr>
          <w:lang w:val="es-ES"/>
        </w:rPr>
        <w:t xml:space="preserve"> como la presente edición de la </w:t>
      </w:r>
      <w:r w:rsidR="00825D82" w:rsidRPr="00825D82">
        <w:rPr>
          <w:i/>
          <w:iCs/>
          <w:lang w:val="es-ES"/>
        </w:rPr>
        <w:t>Guía del GDPFS</w:t>
      </w:r>
      <w:r>
        <w:rPr>
          <w:lang w:val="es-ES"/>
        </w:rPr>
        <w:t xml:space="preserve"> (incluida su parte dinámica: el </w:t>
      </w:r>
      <w:r w:rsidRPr="00086457">
        <w:rPr>
          <w:i/>
          <w:iCs/>
          <w:lang w:val="es-ES"/>
        </w:rPr>
        <w:t>Portal del GDPFS</w:t>
      </w:r>
      <w:r>
        <w:rPr>
          <w:lang w:val="es-ES"/>
        </w:rPr>
        <w:t>) se ajustan plenamente a esa visión.</w:t>
      </w:r>
    </w:p>
    <w:p w14:paraId="5CD6AAF7" w14:textId="7D145230" w:rsidR="003E5D1B" w:rsidRPr="008357EA" w:rsidRDefault="00E26782">
      <w:pPr>
        <w:keepNext/>
        <w:tabs>
          <w:tab w:val="clear" w:pos="1134"/>
        </w:tabs>
        <w:spacing w:before="480" w:after="200" w:line="276" w:lineRule="auto"/>
        <w:ind w:left="1123" w:hanging="1123"/>
        <w:jc w:val="left"/>
        <w:outlineLvl w:val="3"/>
        <w:rPr>
          <w:rFonts w:eastAsia="Calibri" w:cs="Times New Roman"/>
          <w:b/>
          <w:bCs/>
          <w:caps/>
          <w:color w:val="000000" w:themeColor="text1"/>
          <w:lang w:val="es-419"/>
        </w:rPr>
      </w:pPr>
      <w:bookmarkStart w:id="26" w:name="_Toc113003286"/>
      <w:bookmarkStart w:id="27" w:name="_Toc113024411"/>
      <w:bookmarkStart w:id="28" w:name="_Toc117501943"/>
      <w:r>
        <w:rPr>
          <w:b/>
          <w:bCs/>
          <w:lang w:val="es-ES"/>
        </w:rPr>
        <w:t>1.2</w:t>
      </w:r>
      <w:r>
        <w:rPr>
          <w:lang w:val="es-ES"/>
        </w:rPr>
        <w:tab/>
      </w:r>
      <w:bookmarkStart w:id="29" w:name="_Hlk125176125"/>
      <w:r w:rsidR="005143E4">
        <w:rPr>
          <w:b/>
          <w:bCs/>
          <w:lang w:val="es-ES"/>
        </w:rPr>
        <w:t>PRINCIPIOS QUE RIGEN EL SISTEMA MUNDIAL DE PROCESO DE DATOS Y DE PREDICCIÓN</w:t>
      </w:r>
      <w:bookmarkStart w:id="30" w:name="_p_B9BBB8EFA5B17A4ABC7ED04AC3C00BA1"/>
      <w:bookmarkEnd w:id="26"/>
      <w:bookmarkEnd w:id="27"/>
      <w:bookmarkEnd w:id="28"/>
      <w:bookmarkEnd w:id="29"/>
      <w:bookmarkEnd w:id="30"/>
    </w:p>
    <w:p w14:paraId="32699C93" w14:textId="518EEF0B" w:rsidR="003E5D1B" w:rsidRPr="008357EA" w:rsidRDefault="00E26782">
      <w:pPr>
        <w:spacing w:after="240" w:line="240" w:lineRule="exact"/>
        <w:rPr>
          <w:rFonts w:eastAsiaTheme="minorEastAsia" w:cstheme="majorBidi"/>
          <w:color w:val="000000" w:themeColor="text1"/>
          <w:lang w:val="es-419"/>
        </w:rPr>
      </w:pPr>
      <w:r>
        <w:rPr>
          <w:lang w:val="es-ES"/>
        </w:rPr>
        <w:t xml:space="preserve">El GDPFS se diseña </w:t>
      </w:r>
      <w:r w:rsidR="00132EF3">
        <w:rPr>
          <w:lang w:val="es-ES"/>
        </w:rPr>
        <w:t xml:space="preserve">de forma </w:t>
      </w:r>
      <w:r>
        <w:rPr>
          <w:lang w:val="es-ES"/>
        </w:rPr>
        <w:t>sistemática</w:t>
      </w:r>
      <w:r w:rsidR="00132EF3">
        <w:rPr>
          <w:lang w:val="es-ES"/>
        </w:rPr>
        <w:t xml:space="preserve"> de acuerdo </w:t>
      </w:r>
      <w:r>
        <w:rPr>
          <w:lang w:val="es-ES"/>
        </w:rPr>
        <w:t xml:space="preserve">con las necesidades de los Miembros y </w:t>
      </w:r>
      <w:r w:rsidR="00132EF3">
        <w:rPr>
          <w:lang w:val="es-ES"/>
        </w:rPr>
        <w:t xml:space="preserve">con </w:t>
      </w:r>
      <w:r>
        <w:rPr>
          <w:lang w:val="es-ES"/>
        </w:rPr>
        <w:t xml:space="preserve">su capacidad para contribuir al Sistema y beneficiarse de este de manera eficiente y reduciendo al mínimo la duplicación. La lista de principios rectores que figura a continuación se ha elaborado para ayudar a comprender el GDPFS. </w:t>
      </w:r>
    </w:p>
    <w:p w14:paraId="18A87AE3" w14:textId="67DB0FD6" w:rsidR="003E5D1B" w:rsidRPr="008357EA" w:rsidRDefault="00E26782">
      <w:pPr>
        <w:spacing w:after="240" w:line="240" w:lineRule="exact"/>
        <w:rPr>
          <w:rFonts w:eastAsiaTheme="minorEastAsia" w:cstheme="majorBidi"/>
          <w:color w:val="000000" w:themeColor="text1"/>
          <w:lang w:val="es-419"/>
        </w:rPr>
      </w:pPr>
      <w:r>
        <w:rPr>
          <w:lang w:val="es-ES"/>
        </w:rPr>
        <w:t xml:space="preserve">Los Servicios Meteorológicos e Hidrológicos Nacionales (SMHN) que participan en el GDPFS, es decir, los que albergan los centros del GDPFS (véase 1.3.3), necesitan orientaciones concretas sobre cómo cumplir esos principios. Por consiguiente, en la presente sección se proporciona, en relación con cada principio, un conjunto de directrices o recomendaciones específicas sobre </w:t>
      </w:r>
      <w:r w:rsidR="00132EF3">
        <w:rPr>
          <w:lang w:val="es-ES"/>
        </w:rPr>
        <w:t>cómo interpretarlo y aplicarlo</w:t>
      </w:r>
      <w:r>
        <w:rPr>
          <w:lang w:val="es-ES"/>
        </w:rPr>
        <w:t>. Algunas recomendaciones se aplican a varios principios. Para facilitar la interpretación, esos puntos se repiten cada vez que corresponda.</w:t>
      </w:r>
    </w:p>
    <w:p w14:paraId="127F14E2" w14:textId="0F84C4F3" w:rsidR="003E5D1B" w:rsidRPr="008357EA" w:rsidRDefault="00E26782">
      <w:pPr>
        <w:spacing w:after="240" w:line="240" w:lineRule="exact"/>
        <w:rPr>
          <w:rFonts w:eastAsiaTheme="minorEastAsia" w:cstheme="majorBidi"/>
          <w:color w:val="000000" w:themeColor="text1"/>
          <w:lang w:val="es-419"/>
        </w:rPr>
      </w:pPr>
      <w:r>
        <w:rPr>
          <w:lang w:val="es-ES"/>
        </w:rPr>
        <w:t xml:space="preserve">Cabe señalar que a veces se utilizan términos bastante abstractos para describir el ámbito de aplicación del GDPFS. El término "operativo", por ejemplo, se utiliza y acepta habitualmente para describir el proceso de predicción de los SMHN. Sin embargo, no existe una definición universal de "operativo", por lo que hay cierta ambigüedad en cuanto a si este término se aplica tanto a procesos manuales como automatizados, y a usos en tiempo real o en tiempo no real. En el contexto del GDPFS, el término "operativo" se emplea en el proceso de datos y en la predicción para referirse a un sistema que se utiliza para realizar de forma eficiente, fiable y eficaz las operaciones habituales (ya sean diarias, semanales, mensuales, estacionales o incluso anuales) </w:t>
      </w:r>
      <w:r w:rsidR="002C5D01">
        <w:rPr>
          <w:lang w:val="es-ES"/>
        </w:rPr>
        <w:t>que los</w:t>
      </w:r>
      <w:r>
        <w:rPr>
          <w:lang w:val="es-ES"/>
        </w:rPr>
        <w:t xml:space="preserve"> SMHN </w:t>
      </w:r>
      <w:r w:rsidR="002C5D01">
        <w:rPr>
          <w:lang w:val="es-ES"/>
        </w:rPr>
        <w:t xml:space="preserve">llevan a cabo y </w:t>
      </w:r>
      <w:r>
        <w:rPr>
          <w:lang w:val="es-ES"/>
        </w:rPr>
        <w:t xml:space="preserve">que ayudarían a los usuarios a tomar decisiones críticas en los ámbitos en que el GDPFS puede aportar valor. Por lo tanto, es importante reconocer que muchas directrices y recomendaciones que se brindan en la presente Guía, cuando hacen referencia a, por ejemplo, “operativo” u “operación”, no se restringen necesariamente a procesos </w:t>
      </w:r>
      <w:r>
        <w:rPr>
          <w:lang w:val="es-ES"/>
        </w:rPr>
        <w:lastRenderedPageBreak/>
        <w:t xml:space="preserve">automatizados en aplicaciones que se usan en tiempo real, sino que deben aplicarse a todos los sistemas de proceso de datos y de predicción. Del mismo modo, 365 días al año, 24 horas al día, 7 días a la semana se utiliza a menudo para definir las "operaciones", sin embargo, eso se aplica sobre todo a la predicción meteorológica. </w:t>
      </w:r>
    </w:p>
    <w:p w14:paraId="3050E158" w14:textId="1F083374" w:rsidR="003E5D1B" w:rsidRPr="008357EA" w:rsidRDefault="00E26782">
      <w:pPr>
        <w:spacing w:after="240" w:line="240" w:lineRule="exact"/>
        <w:rPr>
          <w:rFonts w:eastAsiaTheme="minorEastAsia" w:cstheme="majorBidi"/>
          <w:color w:val="000000" w:themeColor="text1"/>
          <w:lang w:val="es-419"/>
        </w:rPr>
      </w:pPr>
      <w:r>
        <w:rPr>
          <w:lang w:val="es-ES"/>
        </w:rPr>
        <w:t xml:space="preserve">El término "predicción a largo plazo" también se utiliza en todo el </w:t>
      </w:r>
      <w:r w:rsidR="002D6434" w:rsidRPr="002D6434">
        <w:rPr>
          <w:i/>
          <w:iCs/>
          <w:lang w:val="es-ES"/>
        </w:rPr>
        <w:t>Manual del Sistema Mundial de Proceso de Datos y de Predicción</w:t>
      </w:r>
      <w:r>
        <w:rPr>
          <w:lang w:val="es-ES"/>
        </w:rPr>
        <w:t xml:space="preserve"> (</w:t>
      </w:r>
      <w:r w:rsidR="00EB4587">
        <w:rPr>
          <w:lang w:val="es-ES"/>
        </w:rPr>
        <w:t>OMM</w:t>
      </w:r>
      <w:r w:rsidR="00EB4587">
        <w:rPr>
          <w:lang w:val="es-ES"/>
        </w:rPr>
        <w:noBreakHyphen/>
        <w:t>Nº</w:t>
      </w:r>
      <w:r w:rsidR="0093047C">
        <w:rPr>
          <w:lang w:val="es-ES"/>
        </w:rPr>
        <w:t> </w:t>
      </w:r>
      <w:r>
        <w:rPr>
          <w:lang w:val="es-ES"/>
        </w:rPr>
        <w:t xml:space="preserve">485). Si bien en las definiciones de los plazos de las predicciones meteorológicas (que se describen en el </w:t>
      </w:r>
      <w:r w:rsidR="00851FD3">
        <w:rPr>
          <w:lang w:val="es-ES"/>
        </w:rPr>
        <w:t>a</w:t>
      </w:r>
      <w:r>
        <w:rPr>
          <w:lang w:val="es-ES"/>
        </w:rPr>
        <w:t xml:space="preserve">péndice 1.1 del </w:t>
      </w:r>
      <w:r w:rsidR="00AA4882" w:rsidRPr="00AA4882">
        <w:rPr>
          <w:i/>
          <w:iCs/>
          <w:lang w:val="es-ES"/>
        </w:rPr>
        <w:t>Manual del GDPFS</w:t>
      </w:r>
      <w:r>
        <w:rPr>
          <w:lang w:val="es-ES"/>
        </w:rPr>
        <w:t xml:space="preserve">) se indica que la "predicción a largo plazo" se refiere a la descripción de los parámetros meteorológicos promediados </w:t>
      </w:r>
      <w:r w:rsidR="00851FD3">
        <w:rPr>
          <w:lang w:val="es-ES"/>
        </w:rPr>
        <w:t xml:space="preserve">con una antelación </w:t>
      </w:r>
      <w:r>
        <w:rPr>
          <w:lang w:val="es-ES"/>
        </w:rPr>
        <w:t>de 30 días a dos años, las funciones del Centro Meteorológico Regional Especializado (</w:t>
      </w:r>
      <w:r w:rsidR="00A95DEF">
        <w:rPr>
          <w:lang w:val="es-ES"/>
        </w:rPr>
        <w:t>CMRE</w:t>
      </w:r>
      <w:r>
        <w:rPr>
          <w:lang w:val="es-ES"/>
        </w:rPr>
        <w:t xml:space="preserve">) relativas a la predicción numérica a largo plazo a escala mundial abarcan la predicción </w:t>
      </w:r>
      <w:r w:rsidR="00851FD3">
        <w:rPr>
          <w:lang w:val="es-ES"/>
        </w:rPr>
        <w:t xml:space="preserve">con una antelación </w:t>
      </w:r>
      <w:r>
        <w:rPr>
          <w:lang w:val="es-ES"/>
        </w:rPr>
        <w:t>de uno a seis meses.</w:t>
      </w:r>
    </w:p>
    <w:p w14:paraId="29E1AC23" w14:textId="0E77EA37" w:rsidR="003E5D1B" w:rsidRPr="008357EA" w:rsidRDefault="00E26782">
      <w:pPr>
        <w:spacing w:after="240" w:line="240" w:lineRule="exact"/>
        <w:rPr>
          <w:rFonts w:eastAsiaTheme="minorEastAsia" w:cstheme="majorBidi"/>
          <w:color w:val="000000" w:themeColor="text1"/>
          <w:lang w:val="es-419"/>
        </w:rPr>
      </w:pPr>
      <w:r>
        <w:rPr>
          <w:lang w:val="es-ES"/>
        </w:rPr>
        <w:t xml:space="preserve">Los términos "predicción" y "modelización" también se utilizan con frecuencia, pero </w:t>
      </w:r>
      <w:r w:rsidR="00B279EE">
        <w:rPr>
          <w:lang w:val="es-ES"/>
        </w:rPr>
        <w:t xml:space="preserve">su significado </w:t>
      </w:r>
      <w:r>
        <w:rPr>
          <w:lang w:val="es-ES"/>
        </w:rPr>
        <w:t xml:space="preserve">a veces se malinterpreta. "Predicción" se refiere a un proceso numérico, a los resultados de un proceso numérico, y al proceso global que puede abarcar procesos automatizados y manuales, tanto si incluye los conocimientos y la experiencia añadidos de los </w:t>
      </w:r>
      <w:r w:rsidR="00C67C51">
        <w:rPr>
          <w:lang w:val="es-ES"/>
        </w:rPr>
        <w:t>pronosticadores</w:t>
      </w:r>
      <w:r>
        <w:rPr>
          <w:lang w:val="es-ES"/>
        </w:rPr>
        <w:t xml:space="preserve"> como si no lo hace. "Modelización", por su parte, es una de las técnicas que se pueden utilizar para predecir.</w:t>
      </w:r>
    </w:p>
    <w:p w14:paraId="519572E9" w14:textId="5D8B0CC5" w:rsidR="003E5D1B" w:rsidRPr="008357EA" w:rsidRDefault="00E26782">
      <w:pPr>
        <w:spacing w:after="240" w:line="240" w:lineRule="exact"/>
        <w:rPr>
          <w:rFonts w:eastAsiaTheme="minorEastAsia" w:cstheme="majorBidi"/>
          <w:color w:val="000000" w:themeColor="text1"/>
          <w:lang w:val="es-419"/>
        </w:rPr>
      </w:pPr>
      <w:r>
        <w:rPr>
          <w:lang w:val="es-ES"/>
        </w:rPr>
        <w:t xml:space="preserve">Por último, en el </w:t>
      </w:r>
      <w:r w:rsidR="002D6434" w:rsidRPr="002D6434">
        <w:rPr>
          <w:i/>
          <w:iCs/>
          <w:lang w:val="es-ES"/>
        </w:rPr>
        <w:t>Manual del Sistema Mundial de Proceso de Datos y de Predicción</w:t>
      </w:r>
      <w:r>
        <w:rPr>
          <w:lang w:val="es-ES"/>
        </w:rPr>
        <w:t xml:space="preserve"> (</w:t>
      </w:r>
      <w:r w:rsidR="00EB4587">
        <w:rPr>
          <w:lang w:val="es-ES"/>
        </w:rPr>
        <w:t>OMM</w:t>
      </w:r>
      <w:r w:rsidR="00EB4587">
        <w:rPr>
          <w:lang w:val="es-ES"/>
        </w:rPr>
        <w:noBreakHyphen/>
        <w:t>Nº</w:t>
      </w:r>
      <w:r w:rsidR="0093047C">
        <w:rPr>
          <w:lang w:val="es-ES"/>
        </w:rPr>
        <w:t> </w:t>
      </w:r>
      <w:r>
        <w:rPr>
          <w:lang w:val="es-ES"/>
        </w:rPr>
        <w:t xml:space="preserve">485) y en la presente Guía, "predicción numérica" se utiliza como término genérico que se aplica a la predicción meteorológica, climática, hídrica y medioambiental conexa. </w:t>
      </w:r>
    </w:p>
    <w:p w14:paraId="6D663753" w14:textId="77777777" w:rsidR="003E5D1B" w:rsidRPr="008357EA" w:rsidRDefault="00E26782">
      <w:pPr>
        <w:keepNext/>
        <w:keepLines/>
        <w:spacing w:after="240" w:line="240" w:lineRule="exact"/>
        <w:rPr>
          <w:rFonts w:eastAsiaTheme="minorEastAsia" w:cstheme="majorBidi"/>
          <w:b/>
          <w:bCs/>
          <w:color w:val="000000" w:themeColor="text1"/>
          <w:lang w:val="es-419"/>
        </w:rPr>
      </w:pPr>
      <w:r>
        <w:rPr>
          <w:b/>
          <w:bCs/>
          <w:lang w:val="es-ES"/>
        </w:rPr>
        <w:t>Principio 1.</w:t>
      </w:r>
      <w:r>
        <w:rPr>
          <w:lang w:val="es-ES"/>
        </w:rPr>
        <w:t xml:space="preserve"> </w:t>
      </w:r>
      <w:r>
        <w:rPr>
          <w:b/>
          <w:bCs/>
          <w:lang w:val="es-ES"/>
        </w:rPr>
        <w:t>Satisfacer las necesidades de muchas esferas de aplicación y servicio</w:t>
      </w:r>
    </w:p>
    <w:p w14:paraId="05654D76" w14:textId="12662EB4" w:rsidR="003E5D1B" w:rsidRPr="00C67C51" w:rsidRDefault="00E26782">
      <w:pPr>
        <w:keepNext/>
        <w:keepLines/>
        <w:spacing w:before="100" w:beforeAutospacing="1" w:after="100" w:afterAutospacing="1"/>
        <w:rPr>
          <w:rFonts w:eastAsia="Times New Roman" w:cs="Times New Roman"/>
          <w:sz w:val="16"/>
          <w:szCs w:val="16"/>
          <w:lang w:val="es-419"/>
        </w:rPr>
      </w:pPr>
      <w:r w:rsidRPr="00C67C51">
        <w:rPr>
          <w:sz w:val="16"/>
          <w:szCs w:val="16"/>
          <w:lang w:val="es-ES"/>
        </w:rPr>
        <w:t xml:space="preserve">Nota: Una esfera de aplicación o servicio de la OMM es una actividad que implica utilizar directamente los análisis y </w:t>
      </w:r>
      <w:r w:rsidR="00C67C51">
        <w:rPr>
          <w:sz w:val="16"/>
          <w:szCs w:val="16"/>
          <w:lang w:val="es-ES"/>
        </w:rPr>
        <w:t xml:space="preserve">las </w:t>
      </w:r>
      <w:r w:rsidRPr="00C67C51">
        <w:rPr>
          <w:sz w:val="16"/>
          <w:szCs w:val="16"/>
          <w:lang w:val="es-ES"/>
        </w:rPr>
        <w:t xml:space="preserve">predicciones en un ciclo de actividades de modo que los SMHN u otras organizaciones puedan prestar servicios que contribuyan a la seguridad pública, el bienestar socioeconómico y el desarrollo de los respectivos países, en un ámbito </w:t>
      </w:r>
      <w:r w:rsidR="00C67C51">
        <w:rPr>
          <w:sz w:val="16"/>
          <w:szCs w:val="16"/>
          <w:lang w:val="es-ES"/>
        </w:rPr>
        <w:t>concreto</w:t>
      </w:r>
      <w:r w:rsidRPr="00C67C51">
        <w:rPr>
          <w:sz w:val="16"/>
          <w:szCs w:val="16"/>
          <w:lang w:val="es-ES"/>
        </w:rPr>
        <w:t xml:space="preserve"> relacionado con el tiempo, el clima, el agua, el océano y el medio ambiente. El concepto de esfera de aplicación de la OMM se utiliza habitualmente en el marco del examen continuo de las necesidades de la Organización del Sistema Mundial Integrado de Sistemas de Observación de la OMM. El concepto describe un campo homogéneo de actividad respecto del cual es posible reunir un conjunto coherente de necesidades de los usuarios acordadas por expertos de la comunidad que trabajan operativamente en la esfera en cuestión. El concepto de esfera de aplicación de la OMM también se aplica al GDPFS en lo que respecta a las necesidades de los usuarios relacionadas con el análisis y la predicción en cada actividad del GDPFS.</w:t>
      </w:r>
    </w:p>
    <w:p w14:paraId="1A596756" w14:textId="6F466BA3" w:rsidR="003E5D1B" w:rsidRPr="008357EA" w:rsidRDefault="00E26782">
      <w:pPr>
        <w:spacing w:before="100" w:beforeAutospacing="1" w:after="100" w:afterAutospacing="1"/>
        <w:rPr>
          <w:lang w:val="es-419"/>
        </w:rPr>
      </w:pPr>
      <w:r>
        <w:rPr>
          <w:lang w:val="es-ES"/>
        </w:rPr>
        <w:t>a)</w:t>
      </w:r>
      <w:r>
        <w:rPr>
          <w:lang w:val="es-ES"/>
        </w:rPr>
        <w:tab/>
        <w:t>E</w:t>
      </w:r>
      <w:r w:rsidR="00C67C51">
        <w:rPr>
          <w:lang w:val="es-ES"/>
        </w:rPr>
        <w:t>n e</w:t>
      </w:r>
      <w:r>
        <w:rPr>
          <w:lang w:val="es-ES"/>
        </w:rPr>
        <w:t xml:space="preserve">l GDPFS </w:t>
      </w:r>
      <w:r w:rsidR="00C67C51">
        <w:rPr>
          <w:lang w:val="es-ES"/>
        </w:rPr>
        <w:t xml:space="preserve">se </w:t>
      </w:r>
      <w:r>
        <w:rPr>
          <w:lang w:val="es-ES"/>
        </w:rPr>
        <w:t>tendrá</w:t>
      </w:r>
      <w:r w:rsidR="00C67C51">
        <w:rPr>
          <w:lang w:val="es-ES"/>
        </w:rPr>
        <w:t>n</w:t>
      </w:r>
      <w:r>
        <w:rPr>
          <w:lang w:val="es-ES"/>
        </w:rPr>
        <w:t xml:space="preserve"> en cuenta las necesidades en todas las esferas de aplicación y servicio. En particular, el proceso de </w:t>
      </w:r>
      <w:r w:rsidR="00C67C51" w:rsidRPr="00C67C51">
        <w:rPr>
          <w:lang w:val="es-ES"/>
        </w:rPr>
        <w:t xml:space="preserve">examen continuo de las necesidades </w:t>
      </w:r>
      <w:r>
        <w:rPr>
          <w:lang w:val="es-ES"/>
        </w:rPr>
        <w:t xml:space="preserve">de la OMM (que se utiliza sobre todo en el marco del WIGOS, donde las necesidades de los usuarios se evalúan una y otra vez para que los servicios que se prestan se ajusten a ellas) se aplica del mismo modo al GDPFS (pero no necesariamente con las mismas modalidades de aplicación). </w:t>
      </w:r>
      <w:r w:rsidR="00C67C51">
        <w:rPr>
          <w:lang w:val="es-ES"/>
        </w:rPr>
        <w:t>El</w:t>
      </w:r>
      <w:r>
        <w:rPr>
          <w:lang w:val="es-ES"/>
        </w:rPr>
        <w:t xml:space="preserve"> concepto es totalmente coherente con el principio básico de orientación al cliente que se menciona en la </w:t>
      </w:r>
      <w:r w:rsidR="00B54B54" w:rsidRPr="00B54B54">
        <w:rPr>
          <w:i/>
          <w:iCs/>
          <w:lang w:val="es-ES"/>
        </w:rPr>
        <w:t>Guía para la aplicación de sistemas de gestión de la calidad para los Servicios Meteorológicos e Hidrológicos Nacionales y otros proveedores de servicios pertinentes</w:t>
      </w:r>
      <w:r w:rsidR="00B54B54">
        <w:rPr>
          <w:lang w:val="es-ES"/>
        </w:rPr>
        <w:t xml:space="preserve"> (OMM</w:t>
      </w:r>
      <w:r w:rsidR="00EB4587">
        <w:rPr>
          <w:lang w:val="es-ES"/>
        </w:rPr>
        <w:noBreakHyphen/>
        <w:t>Nº</w:t>
      </w:r>
      <w:r w:rsidR="0093047C">
        <w:rPr>
          <w:lang w:val="es-ES"/>
        </w:rPr>
        <w:t> </w:t>
      </w:r>
      <w:r>
        <w:rPr>
          <w:lang w:val="es-ES"/>
        </w:rPr>
        <w:t xml:space="preserve">1100) y en la </w:t>
      </w:r>
      <w:r w:rsidR="003D7F63" w:rsidRPr="003D7F63">
        <w:rPr>
          <w:i/>
          <w:iCs/>
          <w:lang w:val="es-ES"/>
        </w:rPr>
        <w:t>Estrategia de prestación de servicios de la OMM y su Plan de aplicación</w:t>
      </w:r>
      <w:r>
        <w:rPr>
          <w:lang w:val="es-ES"/>
        </w:rPr>
        <w:t xml:space="preserve"> (</w:t>
      </w:r>
      <w:r w:rsidR="00EB4587">
        <w:rPr>
          <w:lang w:val="es-ES"/>
        </w:rPr>
        <w:t>OMM</w:t>
      </w:r>
      <w:r w:rsidR="00EB4587">
        <w:rPr>
          <w:lang w:val="es-ES"/>
        </w:rPr>
        <w:noBreakHyphen/>
        <w:t>Nº</w:t>
      </w:r>
      <w:r w:rsidR="0093047C">
        <w:rPr>
          <w:lang w:val="es-ES"/>
        </w:rPr>
        <w:t> </w:t>
      </w:r>
      <w:r>
        <w:rPr>
          <w:lang w:val="es-ES"/>
        </w:rPr>
        <w:t xml:space="preserve">1129). </w:t>
      </w:r>
    </w:p>
    <w:p w14:paraId="72DDFBF2" w14:textId="30329051" w:rsidR="003E5D1B" w:rsidRPr="008357EA" w:rsidRDefault="00E26782">
      <w:pPr>
        <w:spacing w:before="100" w:beforeAutospacing="1" w:after="100" w:afterAutospacing="1"/>
        <w:rPr>
          <w:rFonts w:cstheme="majorBidi"/>
          <w:color w:val="000000" w:themeColor="text1"/>
          <w:lang w:val="es-419"/>
        </w:rPr>
      </w:pPr>
      <w:r>
        <w:rPr>
          <w:lang w:val="es-ES"/>
        </w:rPr>
        <w:t>b)</w:t>
      </w:r>
      <w:r>
        <w:rPr>
          <w:lang w:val="es-ES"/>
        </w:rPr>
        <w:tab/>
        <w:t xml:space="preserve">En la medida de lo posible, el GDPFS debe funcionar de forma que se atiendan las necesidades de múltiples esferas de aplicación y servicio. A modo de ejemplo, </w:t>
      </w:r>
      <w:r w:rsidR="00EA513C">
        <w:rPr>
          <w:lang w:val="es-ES"/>
        </w:rPr>
        <w:t xml:space="preserve">en </w:t>
      </w:r>
      <w:r>
        <w:rPr>
          <w:lang w:val="es-ES"/>
        </w:rPr>
        <w:t>la predicción numérica del tiempo determinística a escala mundial</w:t>
      </w:r>
      <w:r w:rsidR="00EA513C">
        <w:rPr>
          <w:lang w:val="es-ES"/>
        </w:rPr>
        <w:t>,</w:t>
      </w:r>
      <w:r>
        <w:rPr>
          <w:lang w:val="es-ES"/>
        </w:rPr>
        <w:t xml:space="preserve"> que se </w:t>
      </w:r>
      <w:r w:rsidR="00EA513C">
        <w:rPr>
          <w:lang w:val="es-ES"/>
        </w:rPr>
        <w:t>pone en práctica</w:t>
      </w:r>
      <w:r>
        <w:rPr>
          <w:lang w:val="es-ES"/>
        </w:rPr>
        <w:t xml:space="preserve"> </w:t>
      </w:r>
      <w:r w:rsidR="00EA513C">
        <w:rPr>
          <w:lang w:val="es-ES"/>
        </w:rPr>
        <w:t>principalmente</w:t>
      </w:r>
      <w:r>
        <w:rPr>
          <w:lang w:val="es-ES"/>
        </w:rPr>
        <w:t xml:space="preserve"> </w:t>
      </w:r>
      <w:r w:rsidR="00EA513C">
        <w:rPr>
          <w:lang w:val="es-ES"/>
        </w:rPr>
        <w:t>para apoyar a</w:t>
      </w:r>
      <w:r>
        <w:rPr>
          <w:lang w:val="es-ES"/>
        </w:rPr>
        <w:t xml:space="preserve"> los servicios públicos de predicción meteorológica</w:t>
      </w:r>
      <w:r w:rsidR="00EA513C">
        <w:rPr>
          <w:lang w:val="es-ES"/>
        </w:rPr>
        <w:t>,</w:t>
      </w:r>
      <w:r>
        <w:rPr>
          <w:lang w:val="es-ES"/>
        </w:rPr>
        <w:t xml:space="preserve"> también </w:t>
      </w:r>
      <w:r w:rsidR="00EA513C">
        <w:rPr>
          <w:lang w:val="es-ES"/>
        </w:rPr>
        <w:t xml:space="preserve">se </w:t>
      </w:r>
      <w:r>
        <w:rPr>
          <w:lang w:val="es-ES"/>
        </w:rPr>
        <w:t>debe</w:t>
      </w:r>
      <w:r w:rsidR="00EA513C">
        <w:rPr>
          <w:lang w:val="es-ES"/>
        </w:rPr>
        <w:t>n</w:t>
      </w:r>
      <w:r>
        <w:rPr>
          <w:lang w:val="es-ES"/>
        </w:rPr>
        <w:t xml:space="preserve"> abordar las necesidades de otras esferas de aplicación, como los servicios meteorológicos marinos. </w:t>
      </w:r>
      <w:r w:rsidR="002F13CD">
        <w:rPr>
          <w:lang w:val="es-ES"/>
        </w:rPr>
        <w:t>Para asegurar la coherencia y la eficiencia, y que no haya información contradictoria, d</w:t>
      </w:r>
      <w:r>
        <w:rPr>
          <w:lang w:val="es-ES"/>
        </w:rPr>
        <w:t xml:space="preserve">ebe evitarse la duplicación de funciones en múltiples actividades del GDPFS, </w:t>
      </w:r>
      <w:r w:rsidR="002F13CD">
        <w:rPr>
          <w:lang w:val="es-ES"/>
        </w:rPr>
        <w:t>a menos que sea</w:t>
      </w:r>
      <w:r>
        <w:rPr>
          <w:lang w:val="es-ES"/>
        </w:rPr>
        <w:t xml:space="preserve"> absolutamente necesario. Se reconoce que las distintas aplicaciones presentan necesidades diferentes y, a veces, contrapuestas: cuando se instrumenta un sistema de proceso de datos y de predicción para satisfacer </w:t>
      </w:r>
      <w:r w:rsidR="002F13CD">
        <w:rPr>
          <w:lang w:val="es-ES"/>
        </w:rPr>
        <w:t>sobre todo</w:t>
      </w:r>
      <w:r>
        <w:rPr>
          <w:lang w:val="es-ES"/>
        </w:rPr>
        <w:t xml:space="preserve"> las necesidades de una aplicación, puede ser necesario hacer concesiones en cuanto a su capacidad para atender las de otras. Sin embargo, las necesidades de las demás aplicaciones deberían </w:t>
      </w:r>
      <w:r w:rsidR="002F13CD">
        <w:rPr>
          <w:lang w:val="es-ES"/>
        </w:rPr>
        <w:t>tenerse en cuenta</w:t>
      </w:r>
      <w:r>
        <w:rPr>
          <w:lang w:val="es-ES"/>
        </w:rPr>
        <w:t xml:space="preserve"> activamente al diseñar y crear </w:t>
      </w:r>
      <w:r w:rsidR="002F13CD">
        <w:rPr>
          <w:lang w:val="es-ES"/>
        </w:rPr>
        <w:t xml:space="preserve">la especialización </w:t>
      </w:r>
      <w:r w:rsidR="00035A84">
        <w:rPr>
          <w:lang w:val="es-ES"/>
        </w:rPr>
        <w:t>por actividad</w:t>
      </w:r>
      <w:r>
        <w:rPr>
          <w:lang w:val="es-ES"/>
        </w:rPr>
        <w:t xml:space="preserve"> del GDPFS. Ese principio también es coherente con, por ejemplo, </w:t>
      </w:r>
      <w:r>
        <w:rPr>
          <w:lang w:val="es-ES"/>
        </w:rPr>
        <w:lastRenderedPageBreak/>
        <w:t>la necesidad de crear sistemas integrados de alerta temprana de peligros múltiples (en lugar de sistemas aislados relativos a un solo peligro) en apoyo del Marco de Sendái para la Reducción del Riesgo de Desastres 2015-2030.</w:t>
      </w:r>
    </w:p>
    <w:p w14:paraId="49176B79" w14:textId="77777777" w:rsidR="003E5D1B" w:rsidRPr="008357EA" w:rsidRDefault="00E26782">
      <w:pPr>
        <w:spacing w:before="100" w:beforeAutospacing="1" w:after="100" w:afterAutospacing="1"/>
        <w:rPr>
          <w:lang w:val="es-419"/>
        </w:rPr>
      </w:pPr>
      <w:r>
        <w:rPr>
          <w:lang w:val="es-ES"/>
        </w:rPr>
        <w:t>c)</w:t>
      </w:r>
      <w:r>
        <w:rPr>
          <w:lang w:val="es-ES"/>
        </w:rPr>
        <w:tab/>
        <w:t xml:space="preserve">Como parte de la gestión del GDPFS, debería aplicarse un procedimiento de consultas con los usuarios mediante el cual se determinen, se examinen y se analicen de forma simultánea las necesidades de las diferentes esferas de aplicación. (Véase también el principio 2). </w:t>
      </w:r>
    </w:p>
    <w:p w14:paraId="2282E4D7" w14:textId="77777777" w:rsidR="003E5D1B" w:rsidRPr="008357EA" w:rsidRDefault="00E26782">
      <w:pPr>
        <w:spacing w:after="240" w:line="240" w:lineRule="exact"/>
        <w:rPr>
          <w:rFonts w:eastAsiaTheme="minorEastAsia" w:cstheme="majorBidi"/>
          <w:b/>
          <w:bCs/>
          <w:color w:val="000000" w:themeColor="text1"/>
          <w:lang w:val="es-419"/>
        </w:rPr>
      </w:pPr>
      <w:r>
        <w:rPr>
          <w:b/>
          <w:bCs/>
          <w:lang w:val="es-ES"/>
        </w:rPr>
        <w:t>Principio 2.</w:t>
      </w:r>
      <w:r>
        <w:rPr>
          <w:lang w:val="es-ES"/>
        </w:rPr>
        <w:t xml:space="preserve"> </w:t>
      </w:r>
      <w:r>
        <w:rPr>
          <w:b/>
          <w:bCs/>
          <w:lang w:val="es-ES"/>
        </w:rPr>
        <w:t>Responder a las necesidades de los usuarios</w:t>
      </w:r>
    </w:p>
    <w:p w14:paraId="1291C474" w14:textId="304750CA" w:rsidR="003E5D1B" w:rsidRPr="008357EA" w:rsidRDefault="00E26782">
      <w:pPr>
        <w:spacing w:before="100" w:beforeAutospacing="1" w:after="100" w:afterAutospacing="1"/>
        <w:rPr>
          <w:rFonts w:cstheme="majorBidi"/>
          <w:color w:val="000000" w:themeColor="text1"/>
          <w:lang w:val="es-419"/>
        </w:rPr>
      </w:pPr>
      <w:r>
        <w:rPr>
          <w:lang w:val="es-ES"/>
        </w:rPr>
        <w:t>a)</w:t>
      </w:r>
      <w:r>
        <w:rPr>
          <w:lang w:val="es-ES"/>
        </w:rPr>
        <w:tab/>
        <w:t xml:space="preserve">El perfeccionamiento y la </w:t>
      </w:r>
      <w:r w:rsidR="006F5502">
        <w:rPr>
          <w:lang w:val="es-ES"/>
        </w:rPr>
        <w:t>puesta en práctica</w:t>
      </w:r>
      <w:r>
        <w:rPr>
          <w:lang w:val="es-ES"/>
        </w:rPr>
        <w:t xml:space="preserve"> del GDPFS permiten aumentar el tiempo de antelación y la fiabilidad de las predicciones y los avisos, y son fundamentales para apoyar la prestación de servicios tanto al sector público como al privado. </w:t>
      </w:r>
    </w:p>
    <w:p w14:paraId="7D2A6064" w14:textId="7DFB6A5A" w:rsidR="003E5D1B" w:rsidRPr="008357EA" w:rsidRDefault="00E26782">
      <w:pPr>
        <w:spacing w:before="100" w:beforeAutospacing="1" w:after="100" w:afterAutospacing="1"/>
        <w:rPr>
          <w:lang w:val="es-419"/>
        </w:rPr>
      </w:pPr>
      <w:r>
        <w:rPr>
          <w:lang w:val="es-ES"/>
        </w:rPr>
        <w:t>b)</w:t>
      </w:r>
      <w:r>
        <w:rPr>
          <w:lang w:val="es-ES"/>
        </w:rPr>
        <w:tab/>
        <w:t xml:space="preserve">Las comunidades de usuarios deberían participar en el perfeccionamiento y la expansión del GDPFS. Para que este responda a las necesidades principales de las comunidades de usuarios, al tomar decisiones concretas sobre </w:t>
      </w:r>
      <w:r w:rsidR="004C0B33">
        <w:rPr>
          <w:lang w:val="es-ES"/>
        </w:rPr>
        <w:t>su</w:t>
      </w:r>
      <w:r>
        <w:rPr>
          <w:lang w:val="es-ES"/>
        </w:rPr>
        <w:t xml:space="preserve"> orientación se debería consultar a los representantes de las esferas de aplicación que correspondan. Debería aplicarse un procedimiento destinado a realizar una recopilación y una síntesis documentadas de las necesidades detalladas de los usuarios, mediante mecanismos tanto nacionales como internacionales. </w:t>
      </w:r>
    </w:p>
    <w:p w14:paraId="5DC0DCC1" w14:textId="1CD34C72" w:rsidR="003E5D1B" w:rsidRPr="008357EA" w:rsidRDefault="00E26782">
      <w:pPr>
        <w:spacing w:before="100" w:beforeAutospacing="1" w:after="100" w:afterAutospacing="1"/>
        <w:rPr>
          <w:lang w:val="es-419"/>
        </w:rPr>
      </w:pPr>
      <w:r>
        <w:rPr>
          <w:lang w:val="es-ES"/>
        </w:rPr>
        <w:t>c)</w:t>
      </w:r>
      <w:r>
        <w:rPr>
          <w:lang w:val="es-ES"/>
        </w:rPr>
        <w:tab/>
        <w:t xml:space="preserve">El GDPFS debería </w:t>
      </w:r>
      <w:r w:rsidR="004C0B33">
        <w:rPr>
          <w:lang w:val="es-ES"/>
        </w:rPr>
        <w:t>ponerse en práctica</w:t>
      </w:r>
      <w:r>
        <w:rPr>
          <w:lang w:val="es-ES"/>
        </w:rPr>
        <w:t xml:space="preserve"> y desarrollarse hasta alcanzar un nivel que se establecerá en consulta con los usuarios y en consonancia con la evolución científica y tecnológica. Por ejemplo, los Centros Meteorológicos Nacionales (CMN) pueden evolucionar hacia funciones más orientadas a los servicios a medida que mejora la predicción numérica del tiempo a escala mundial, y que los datos y productos se ponen a disposición a través de los Centros Meteorológicos Mundiales (CMM) y los Centros Meteorológicos Regionales Especializados (CMRE). Deberían asignarse recursos adecuados a esas necesidades de proceso de datos y predicción a escala mundial, regional y nacional. (Véase también el principio 4).</w:t>
      </w:r>
    </w:p>
    <w:p w14:paraId="4AE1BED7" w14:textId="011ED0FF" w:rsidR="003E5D1B" w:rsidRPr="008357EA" w:rsidRDefault="00E26782">
      <w:pPr>
        <w:spacing w:before="100" w:beforeAutospacing="1" w:after="100" w:afterAutospacing="1"/>
        <w:rPr>
          <w:lang w:val="es-419"/>
        </w:rPr>
      </w:pPr>
      <w:r>
        <w:rPr>
          <w:lang w:val="es-ES"/>
        </w:rPr>
        <w:t>d)</w:t>
      </w:r>
      <w:r>
        <w:rPr>
          <w:lang w:val="es-ES"/>
        </w:rPr>
        <w:tab/>
        <w:t>El GDPFS debería evolucionar en respuesta a las necesidades cambiantes de los usuarios, así como a la evolución científica y tecnológica. Las funciones deberían</w:t>
      </w:r>
      <w:r w:rsidR="004C0B33">
        <w:rPr>
          <w:lang w:val="es-ES"/>
        </w:rPr>
        <w:t xml:space="preserve"> tener la flexibilidad </w:t>
      </w:r>
      <w:r>
        <w:rPr>
          <w:lang w:val="es-ES"/>
        </w:rPr>
        <w:t xml:space="preserve">suficiente como para </w:t>
      </w:r>
      <w:r w:rsidR="00035A84">
        <w:rPr>
          <w:lang w:val="es-ES"/>
        </w:rPr>
        <w:t>que fuera posible</w:t>
      </w:r>
      <w:r w:rsidR="004C0B33">
        <w:rPr>
          <w:lang w:val="es-ES"/>
        </w:rPr>
        <w:t xml:space="preserve"> ampliarlas o reducirlas de forma</w:t>
      </w:r>
      <w:r>
        <w:rPr>
          <w:lang w:val="es-ES"/>
        </w:rPr>
        <w:t xml:space="preserve"> gradual, sin tener que volver a definirlas por completo. </w:t>
      </w:r>
    </w:p>
    <w:p w14:paraId="51631911" w14:textId="77777777" w:rsidR="003E5D1B" w:rsidRPr="008357EA" w:rsidRDefault="00E26782">
      <w:pPr>
        <w:spacing w:after="240" w:line="240" w:lineRule="exact"/>
        <w:rPr>
          <w:rFonts w:eastAsiaTheme="minorEastAsia" w:cstheme="majorBidi"/>
          <w:b/>
          <w:bCs/>
          <w:color w:val="000000" w:themeColor="text1"/>
          <w:lang w:val="es-419"/>
        </w:rPr>
      </w:pPr>
      <w:r>
        <w:rPr>
          <w:b/>
          <w:bCs/>
          <w:lang w:val="es-ES"/>
        </w:rPr>
        <w:t>Principio 3.</w:t>
      </w:r>
      <w:r>
        <w:rPr>
          <w:lang w:val="es-ES"/>
        </w:rPr>
        <w:t xml:space="preserve"> </w:t>
      </w:r>
      <w:r>
        <w:rPr>
          <w:b/>
          <w:bCs/>
          <w:lang w:val="es-ES"/>
        </w:rPr>
        <w:t>Cumplir los compromisos nacionales e internacionales</w:t>
      </w:r>
    </w:p>
    <w:p w14:paraId="61C58EA5" w14:textId="0839F2FF" w:rsidR="003E5D1B" w:rsidRPr="008357EA" w:rsidRDefault="00E26782">
      <w:pPr>
        <w:spacing w:before="100" w:beforeAutospacing="1" w:after="100" w:afterAutospacing="1"/>
        <w:rPr>
          <w:lang w:val="es-419"/>
        </w:rPr>
      </w:pPr>
      <w:r>
        <w:rPr>
          <w:lang w:val="es-ES"/>
        </w:rPr>
        <w:t>a)</w:t>
      </w:r>
      <w:r>
        <w:rPr>
          <w:lang w:val="es-ES"/>
        </w:rPr>
        <w:tab/>
        <w:t xml:space="preserve">Los sistemas de proceso de datos y de predicción se </w:t>
      </w:r>
      <w:r w:rsidR="000A2EB7">
        <w:rPr>
          <w:lang w:val="es-ES"/>
        </w:rPr>
        <w:t>ponen en práctica</w:t>
      </w:r>
      <w:r>
        <w:rPr>
          <w:lang w:val="es-ES"/>
        </w:rPr>
        <w:t xml:space="preserve"> sobre todo para responder a las necesidades de los Miembros, lo que </w:t>
      </w:r>
      <w:r w:rsidR="00035A84">
        <w:rPr>
          <w:lang w:val="es-ES"/>
        </w:rPr>
        <w:t>supone</w:t>
      </w:r>
      <w:r>
        <w:rPr>
          <w:lang w:val="es-ES"/>
        </w:rPr>
        <w:t xml:space="preserve"> apoyar a todos los programas de la OMM y </w:t>
      </w:r>
      <w:r w:rsidR="00035A84">
        <w:rPr>
          <w:lang w:val="es-ES"/>
        </w:rPr>
        <w:t xml:space="preserve">a </w:t>
      </w:r>
      <w:r>
        <w:rPr>
          <w:lang w:val="es-ES"/>
        </w:rPr>
        <w:t xml:space="preserve">los programas conexos de otras organizaciones internacionales de conformidad con las decisiones de la Organización. Por ejemplo, los Miembros que albergan Centros Meteorológicos Regionales Especializados (CMRE) cuya especialización por actividad es la modelización del transporte atmosférico proporcionan productos tanto a los SMHN como al Organismo Internacional de Energía Atómica (OIEA). En otro ejemplo, los Miembros que albergan CMRE cuya especialización por actividad son los servicios meteorológicos marinos proporcionan información al transporte marítimo nacional </w:t>
      </w:r>
      <w:r w:rsidR="00035A84">
        <w:rPr>
          <w:lang w:val="es-ES"/>
        </w:rPr>
        <w:t>e</w:t>
      </w:r>
      <w:r>
        <w:rPr>
          <w:lang w:val="es-ES"/>
        </w:rPr>
        <w:t xml:space="preserve"> internacional. Sin embargo, las funciones de</w:t>
      </w:r>
      <w:r w:rsidR="00035A84">
        <w:rPr>
          <w:lang w:val="es-ES"/>
        </w:rPr>
        <w:t xml:space="preserve">l </w:t>
      </w:r>
      <w:r>
        <w:rPr>
          <w:lang w:val="es-ES"/>
        </w:rPr>
        <w:t>GDPFS no sustituyen al papel que los SMHN desempeñan en el cumplimiento de sus obligaciones nacionales e internacionales.</w:t>
      </w:r>
    </w:p>
    <w:p w14:paraId="72FE383D" w14:textId="6BB30271" w:rsidR="003E5D1B" w:rsidRPr="008357EA" w:rsidRDefault="00E26782">
      <w:pPr>
        <w:spacing w:before="100" w:beforeAutospacing="1" w:after="100" w:afterAutospacing="1"/>
        <w:rPr>
          <w:lang w:val="es-419"/>
        </w:rPr>
      </w:pPr>
      <w:r>
        <w:rPr>
          <w:lang w:val="es-ES"/>
        </w:rPr>
        <w:t>c)</w:t>
      </w:r>
      <w:r>
        <w:rPr>
          <w:lang w:val="es-ES"/>
        </w:rPr>
        <w:tab/>
        <w:t xml:space="preserve">Los procedimientos </w:t>
      </w:r>
      <w:r w:rsidR="000A2EB7">
        <w:rPr>
          <w:lang w:val="es-ES"/>
        </w:rPr>
        <w:t>por medio</w:t>
      </w:r>
      <w:r>
        <w:rPr>
          <w:lang w:val="es-ES"/>
        </w:rPr>
        <w:t xml:space="preserve"> de los cuales se recopilan y evalúan las necesidades de los usuarios a escala nacional (véase el principio 2) deberían diseñarse de modo de apoyar a los Miembros para que cumplan sus responsabilidades nacionales e internacionales de forma simultánea. </w:t>
      </w:r>
    </w:p>
    <w:p w14:paraId="1DC0765F" w14:textId="32A467FB" w:rsidR="003E5D1B" w:rsidRPr="008357EA" w:rsidRDefault="00E26782">
      <w:pPr>
        <w:spacing w:after="240" w:line="240" w:lineRule="exact"/>
        <w:rPr>
          <w:rFonts w:eastAsiaTheme="minorEastAsia" w:cstheme="majorBidi"/>
          <w:b/>
          <w:bCs/>
          <w:color w:val="000000" w:themeColor="text1"/>
          <w:lang w:val="es-419"/>
        </w:rPr>
      </w:pPr>
      <w:r>
        <w:rPr>
          <w:b/>
          <w:bCs/>
          <w:lang w:val="es-ES"/>
        </w:rPr>
        <w:lastRenderedPageBreak/>
        <w:t>Principio 4.</w:t>
      </w:r>
      <w:r>
        <w:rPr>
          <w:lang w:val="es-ES"/>
        </w:rPr>
        <w:t xml:space="preserve"> </w:t>
      </w:r>
      <w:r>
        <w:rPr>
          <w:b/>
          <w:bCs/>
          <w:lang w:val="es-ES"/>
        </w:rPr>
        <w:t xml:space="preserve">Fortalecer las capacidades nacionales mediante sistemas de predicción </w:t>
      </w:r>
      <w:r w:rsidR="000A2EB7">
        <w:rPr>
          <w:b/>
          <w:bCs/>
          <w:lang w:val="es-ES"/>
        </w:rPr>
        <w:t>eficaces en función de</w:t>
      </w:r>
      <w:r w:rsidR="000D052D">
        <w:rPr>
          <w:b/>
          <w:bCs/>
          <w:lang w:val="es-ES"/>
        </w:rPr>
        <w:t xml:space="preserve"> los</w:t>
      </w:r>
      <w:r w:rsidR="000A2EB7">
        <w:rPr>
          <w:b/>
          <w:bCs/>
          <w:lang w:val="es-ES"/>
        </w:rPr>
        <w:t xml:space="preserve"> costo</w:t>
      </w:r>
      <w:r w:rsidR="000D052D">
        <w:rPr>
          <w:b/>
          <w:bCs/>
          <w:lang w:val="es-ES"/>
        </w:rPr>
        <w:t>s</w:t>
      </w:r>
    </w:p>
    <w:p w14:paraId="7B89D7E0" w14:textId="3C6F39EC" w:rsidR="003E5D1B" w:rsidRPr="008357EA" w:rsidRDefault="00E26782">
      <w:pPr>
        <w:spacing w:before="100" w:beforeAutospacing="1" w:after="100" w:afterAutospacing="1"/>
        <w:rPr>
          <w:rFonts w:ascii="Calibri" w:eastAsia="Times New Roman" w:hAnsi="Calibri" w:cs="Calibri"/>
          <w:color w:val="000000"/>
          <w:sz w:val="24"/>
          <w:szCs w:val="24"/>
          <w:lang w:val="es-419"/>
        </w:rPr>
      </w:pPr>
      <w:r>
        <w:rPr>
          <w:lang w:val="es-ES"/>
        </w:rPr>
        <w:t>a)</w:t>
      </w:r>
      <w:r>
        <w:rPr>
          <w:lang w:val="es-ES"/>
        </w:rPr>
        <w:tab/>
        <w:t xml:space="preserve">Los Miembros de la OMM deberían </w:t>
      </w:r>
      <w:r w:rsidR="000A2EB7">
        <w:rPr>
          <w:lang w:val="es-ES"/>
        </w:rPr>
        <w:t>aprovechar</w:t>
      </w:r>
      <w:r>
        <w:rPr>
          <w:lang w:val="es-ES"/>
        </w:rPr>
        <w:t xml:space="preserve"> los recursos disponibles en el GDPFS para diseñar sus propios sistemas de proceso de datos y de predicción</w:t>
      </w:r>
      <w:r w:rsidR="000A2EB7">
        <w:rPr>
          <w:lang w:val="es-ES"/>
        </w:rPr>
        <w:t xml:space="preserve"> de forma eficaz en función de</w:t>
      </w:r>
      <w:r w:rsidR="000D052D">
        <w:rPr>
          <w:lang w:val="es-ES"/>
        </w:rPr>
        <w:t xml:space="preserve"> los</w:t>
      </w:r>
      <w:r w:rsidR="000A2EB7">
        <w:rPr>
          <w:lang w:val="es-ES"/>
        </w:rPr>
        <w:t xml:space="preserve"> costo</w:t>
      </w:r>
      <w:r w:rsidR="000D052D">
        <w:rPr>
          <w:lang w:val="es-ES"/>
        </w:rPr>
        <w:t>s</w:t>
      </w:r>
      <w:r>
        <w:rPr>
          <w:lang w:val="es-ES"/>
        </w:rPr>
        <w:t>. En muchos casos, será más eficiente y eficaz utilizar los recursos del GDPFS para brindar orientaciones sobre la predicción numérica que elaborar orientaciones equivalentes en el país.</w:t>
      </w:r>
    </w:p>
    <w:p w14:paraId="722BA382" w14:textId="50517BF4" w:rsidR="003E5D1B" w:rsidRPr="008357EA" w:rsidRDefault="00E26782">
      <w:pPr>
        <w:spacing w:before="100" w:beforeAutospacing="1" w:after="100" w:afterAutospacing="1"/>
        <w:rPr>
          <w:lang w:val="es-419"/>
        </w:rPr>
      </w:pPr>
      <w:r>
        <w:rPr>
          <w:lang w:val="es-ES"/>
        </w:rPr>
        <w:t>b)</w:t>
      </w:r>
      <w:r>
        <w:rPr>
          <w:lang w:val="es-ES"/>
        </w:rPr>
        <w:tab/>
      </w:r>
      <w:r w:rsidR="000A2EB7">
        <w:rPr>
          <w:lang w:val="es-ES"/>
        </w:rPr>
        <w:t>Para producir y mantener las funciones del GDPFS se necesita</w:t>
      </w:r>
      <w:r>
        <w:rPr>
          <w:lang w:val="es-ES"/>
        </w:rPr>
        <w:t xml:space="preserve"> una capacidad </w:t>
      </w:r>
      <w:r w:rsidR="005F5BFA">
        <w:rPr>
          <w:lang w:val="es-ES"/>
        </w:rPr>
        <w:t>operativa</w:t>
      </w:r>
      <w:r>
        <w:rPr>
          <w:lang w:val="es-ES"/>
        </w:rPr>
        <w:t xml:space="preserve"> sostenida. </w:t>
      </w:r>
    </w:p>
    <w:p w14:paraId="0F2CAB3D" w14:textId="746879E7" w:rsidR="003E5D1B" w:rsidRPr="008357EA" w:rsidRDefault="00E26782">
      <w:pPr>
        <w:spacing w:before="100" w:beforeAutospacing="1" w:after="100" w:afterAutospacing="1"/>
        <w:rPr>
          <w:lang w:val="es-419"/>
        </w:rPr>
      </w:pPr>
      <w:r>
        <w:rPr>
          <w:lang w:val="es-ES"/>
        </w:rPr>
        <w:t>c)</w:t>
      </w:r>
      <w:r>
        <w:rPr>
          <w:lang w:val="es-ES"/>
        </w:rPr>
        <w:tab/>
        <w:t xml:space="preserve">Deberían asignarse los recursos necesarios para garantizar que los </w:t>
      </w:r>
      <w:r w:rsidR="00881EC9">
        <w:rPr>
          <w:lang w:val="es-ES"/>
        </w:rPr>
        <w:t>CMN</w:t>
      </w:r>
      <w:r>
        <w:rPr>
          <w:lang w:val="es-ES"/>
        </w:rPr>
        <w:t xml:space="preserve"> se </w:t>
      </w:r>
      <w:r w:rsidR="005F5BFA">
        <w:rPr>
          <w:lang w:val="es-ES"/>
        </w:rPr>
        <w:t>pongan en práctica</w:t>
      </w:r>
      <w:r>
        <w:rPr>
          <w:lang w:val="es-ES"/>
        </w:rPr>
        <w:t xml:space="preserve"> de forma adecuada. </w:t>
      </w:r>
    </w:p>
    <w:p w14:paraId="3FB20420" w14:textId="7B268108" w:rsidR="003E5D1B" w:rsidRPr="008357EA" w:rsidRDefault="00E26782">
      <w:pPr>
        <w:spacing w:before="100" w:beforeAutospacing="1" w:after="100" w:afterAutospacing="1"/>
        <w:rPr>
          <w:lang w:val="es-419"/>
        </w:rPr>
      </w:pPr>
      <w:r>
        <w:rPr>
          <w:lang w:val="es-ES"/>
        </w:rPr>
        <w:t>d)</w:t>
      </w:r>
      <w:r>
        <w:rPr>
          <w:lang w:val="es-ES"/>
        </w:rPr>
        <w:tab/>
        <w:t xml:space="preserve">Los sistemas de proceso de datos y de predicción deberían diseñarse utilizando las tecnologías o las combinaciones de tecnologías y recursos más adecuadas y </w:t>
      </w:r>
      <w:r w:rsidR="005F5BFA">
        <w:rPr>
          <w:lang w:val="es-ES"/>
        </w:rPr>
        <w:t>eficaces en función de los costos</w:t>
      </w:r>
      <w:r>
        <w:rPr>
          <w:lang w:val="es-ES"/>
        </w:rPr>
        <w:t xml:space="preserve">. </w:t>
      </w:r>
    </w:p>
    <w:p w14:paraId="2B55059C" w14:textId="72D638BF" w:rsidR="003E5D1B" w:rsidRPr="008357EA" w:rsidRDefault="00E26782">
      <w:pPr>
        <w:spacing w:before="100" w:beforeAutospacing="1" w:after="100" w:afterAutospacing="1"/>
        <w:rPr>
          <w:lang w:val="es-419"/>
        </w:rPr>
      </w:pPr>
      <w:r>
        <w:rPr>
          <w:lang w:val="es-ES"/>
        </w:rPr>
        <w:t>e)</w:t>
      </w:r>
      <w:r>
        <w:rPr>
          <w:lang w:val="es-ES"/>
        </w:rPr>
        <w:tab/>
        <w:t xml:space="preserve">Cuando sea posible, los avances de los sistemas de proceso de datos y de predicción deberían </w:t>
      </w:r>
      <w:r w:rsidR="0004576B">
        <w:rPr>
          <w:lang w:val="es-ES"/>
        </w:rPr>
        <w:t>tener lugar</w:t>
      </w:r>
      <w:r>
        <w:rPr>
          <w:lang w:val="es-ES"/>
        </w:rPr>
        <w:t xml:space="preserve"> sobre la base de las capacidades existentes del GDPFS y propiciar su consolidación, aprovechando las tecnologías </w:t>
      </w:r>
      <w:r w:rsidR="00E7671F">
        <w:rPr>
          <w:lang w:val="es-ES"/>
        </w:rPr>
        <w:t>que ya existen y las</w:t>
      </w:r>
      <w:r>
        <w:rPr>
          <w:lang w:val="es-ES"/>
        </w:rPr>
        <w:t xml:space="preserve"> nuevas</w:t>
      </w:r>
      <w:r w:rsidR="00E7671F">
        <w:rPr>
          <w:lang w:val="es-ES"/>
        </w:rPr>
        <w:t>,</w:t>
      </w:r>
      <w:r>
        <w:rPr>
          <w:lang w:val="es-ES"/>
        </w:rPr>
        <w:t xml:space="preserve"> e integrándolas con las actividades </w:t>
      </w:r>
      <w:r w:rsidR="00E7671F">
        <w:rPr>
          <w:lang w:val="es-ES"/>
        </w:rPr>
        <w:t xml:space="preserve">que </w:t>
      </w:r>
      <w:r>
        <w:rPr>
          <w:lang w:val="es-ES"/>
        </w:rPr>
        <w:t>el GDPFS</w:t>
      </w:r>
      <w:r w:rsidR="00E7671F">
        <w:rPr>
          <w:lang w:val="es-ES"/>
        </w:rPr>
        <w:t xml:space="preserve"> ya lleva a cabo</w:t>
      </w:r>
      <w:r>
        <w:rPr>
          <w:lang w:val="es-ES"/>
        </w:rPr>
        <w:t xml:space="preserve">. </w:t>
      </w:r>
    </w:p>
    <w:p w14:paraId="77C4FE2C" w14:textId="77777777" w:rsidR="003E5D1B" w:rsidRPr="008357EA" w:rsidRDefault="00E26782">
      <w:pPr>
        <w:spacing w:after="240" w:line="240" w:lineRule="exact"/>
        <w:rPr>
          <w:rFonts w:eastAsiaTheme="minorEastAsia" w:cstheme="majorBidi"/>
          <w:b/>
          <w:bCs/>
          <w:color w:val="000000" w:themeColor="text1"/>
          <w:lang w:val="es-419"/>
        </w:rPr>
      </w:pPr>
      <w:r>
        <w:rPr>
          <w:b/>
          <w:bCs/>
          <w:lang w:val="es-ES"/>
        </w:rPr>
        <w:t>Principio 5.</w:t>
      </w:r>
      <w:r>
        <w:rPr>
          <w:lang w:val="es-ES"/>
        </w:rPr>
        <w:t xml:space="preserve"> </w:t>
      </w:r>
      <w:r>
        <w:rPr>
          <w:b/>
          <w:bCs/>
          <w:lang w:val="es-ES"/>
        </w:rPr>
        <w:t>Beneficiar a todos los implicados mediante un proceso de predicción bidireccional</w:t>
      </w:r>
      <w:r>
        <w:rPr>
          <w:lang w:val="es-ES"/>
        </w:rPr>
        <w:t xml:space="preserve"> </w:t>
      </w:r>
    </w:p>
    <w:p w14:paraId="5B57C948" w14:textId="710D38CE" w:rsidR="003E5D1B" w:rsidRPr="008357EA" w:rsidRDefault="00E26782">
      <w:pPr>
        <w:spacing w:before="100" w:beforeAutospacing="1" w:after="100" w:afterAutospacing="1"/>
        <w:rPr>
          <w:lang w:val="es-419"/>
        </w:rPr>
      </w:pPr>
      <w:r>
        <w:rPr>
          <w:lang w:val="es-ES"/>
        </w:rPr>
        <w:t>a)</w:t>
      </w:r>
      <w:r>
        <w:rPr>
          <w:lang w:val="es-ES"/>
        </w:rPr>
        <w:tab/>
        <w:t xml:space="preserve">La verificación es una </w:t>
      </w:r>
      <w:r w:rsidR="00E311D5">
        <w:rPr>
          <w:lang w:val="es-ES"/>
        </w:rPr>
        <w:t>pieza fundamental</w:t>
      </w:r>
      <w:r>
        <w:rPr>
          <w:lang w:val="es-ES"/>
        </w:rPr>
        <w:t xml:space="preserve"> de las estructuras operativas y debe llevarse a cabo a escala mundial, regional y nacional antes de iniciar los servicios de difusión de los datos y productos de estas. En términos generales, el ciclo de mejora continua de la predicción numérica se basa en que cada versión sucesiva de los modelos sea mejor que la anterior. De la credibilidad de esos modelos depende que ellos se usen al tomar decisiones relativas a la predicción operativa. Tanto la mejora continua como la credibilidad de los modelos se establecen mediante la verificación, que es la piedra angular del GDPFS</w:t>
      </w:r>
      <w:r w:rsidR="0038717F">
        <w:rPr>
          <w:lang w:val="es-ES"/>
        </w:rPr>
        <w:t xml:space="preserve">. </w:t>
      </w:r>
    </w:p>
    <w:p w14:paraId="51D1AD31" w14:textId="3F4B5F83" w:rsidR="003E5D1B" w:rsidRPr="008357EA" w:rsidRDefault="00E26782">
      <w:pPr>
        <w:spacing w:before="100" w:beforeAutospacing="1" w:after="100" w:afterAutospacing="1"/>
        <w:rPr>
          <w:rFonts w:eastAsia="Calibri" w:cs="Times New Roman"/>
          <w:lang w:val="es-419"/>
        </w:rPr>
      </w:pPr>
      <w:r>
        <w:rPr>
          <w:lang w:val="es-ES"/>
        </w:rPr>
        <w:t>b)</w:t>
      </w:r>
      <w:r>
        <w:rPr>
          <w:lang w:val="es-ES"/>
        </w:rPr>
        <w:tab/>
        <w:t>Los resultados de las verificaciones (subjetivas u objetivas)</w:t>
      </w:r>
      <w:r w:rsidR="00E311D5">
        <w:rPr>
          <w:lang w:val="es-ES"/>
        </w:rPr>
        <w:t xml:space="preserve">, incluidos los que elaboran los CMN, </w:t>
      </w:r>
      <w:r>
        <w:rPr>
          <w:lang w:val="es-ES"/>
        </w:rPr>
        <w:t>se deben poner a disposición</w:t>
      </w:r>
      <w:r w:rsidR="00E311D5">
        <w:rPr>
          <w:lang w:val="es-ES"/>
        </w:rPr>
        <w:t xml:space="preserve"> </w:t>
      </w:r>
      <w:r>
        <w:rPr>
          <w:lang w:val="es-ES"/>
        </w:rPr>
        <w:t xml:space="preserve">para contribuir a mejorar los modelos numéricos. Los CMN pueden ser tanto proveedores como usuarios de los datos y productos del GDPFS. </w:t>
      </w:r>
    </w:p>
    <w:p w14:paraId="73EE0910" w14:textId="3009CE2D" w:rsidR="003E5D1B" w:rsidRPr="008357EA" w:rsidRDefault="00E26782">
      <w:pPr>
        <w:spacing w:before="100" w:beforeAutospacing="1" w:after="100" w:afterAutospacing="1"/>
        <w:rPr>
          <w:rFonts w:eastAsia="SimSun" w:cs="Times New Roman"/>
          <w:lang w:val="es-419"/>
        </w:rPr>
      </w:pPr>
      <w:r>
        <w:rPr>
          <w:lang w:val="es-ES"/>
        </w:rPr>
        <w:t>c)</w:t>
      </w:r>
      <w:r>
        <w:rPr>
          <w:lang w:val="es-ES"/>
        </w:rPr>
        <w:tab/>
        <w:t xml:space="preserve">Se han establecido mecanismos para </w:t>
      </w:r>
      <w:r w:rsidR="00673A7C">
        <w:rPr>
          <w:lang w:val="es-ES"/>
        </w:rPr>
        <w:t>que se lleve a cabo un proceso de</w:t>
      </w:r>
      <w:r>
        <w:rPr>
          <w:lang w:val="es-ES"/>
        </w:rPr>
        <w:t xml:space="preserve"> retroinformación como parte de cada </w:t>
      </w:r>
      <w:r w:rsidR="00673A7C">
        <w:rPr>
          <w:lang w:val="es-ES"/>
        </w:rPr>
        <w:t xml:space="preserve">una de las </w:t>
      </w:r>
      <w:r>
        <w:rPr>
          <w:lang w:val="es-ES"/>
        </w:rPr>
        <w:t>actividad</w:t>
      </w:r>
      <w:r w:rsidR="00673A7C">
        <w:rPr>
          <w:lang w:val="es-ES"/>
        </w:rPr>
        <w:t>es</w:t>
      </w:r>
      <w:r>
        <w:rPr>
          <w:lang w:val="es-ES"/>
        </w:rPr>
        <w:t xml:space="preserve"> </w:t>
      </w:r>
      <w:r w:rsidR="00673A7C">
        <w:rPr>
          <w:lang w:val="es-ES"/>
        </w:rPr>
        <w:t xml:space="preserve">que </w:t>
      </w:r>
      <w:r>
        <w:rPr>
          <w:lang w:val="es-ES"/>
        </w:rPr>
        <w:t xml:space="preserve">el GDPFS </w:t>
      </w:r>
      <w:r w:rsidR="006F551F">
        <w:rPr>
          <w:lang w:val="es-ES"/>
        </w:rPr>
        <w:t>respalda</w:t>
      </w:r>
      <w:r w:rsidR="00673A7C">
        <w:rPr>
          <w:lang w:val="es-ES"/>
        </w:rPr>
        <w:t xml:space="preserve"> </w:t>
      </w:r>
      <w:r>
        <w:rPr>
          <w:lang w:val="es-ES"/>
        </w:rPr>
        <w:t xml:space="preserve">(véase la </w:t>
      </w:r>
      <w:r w:rsidR="00673A7C">
        <w:rPr>
          <w:lang w:val="es-ES"/>
        </w:rPr>
        <w:t>sección 2.3 de la p</w:t>
      </w:r>
      <w:r>
        <w:rPr>
          <w:lang w:val="es-ES"/>
        </w:rPr>
        <w:t>arte II).</w:t>
      </w:r>
    </w:p>
    <w:p w14:paraId="0DDEA9F8" w14:textId="24D3D393" w:rsidR="003E5D1B" w:rsidRPr="008357EA" w:rsidRDefault="00E26782">
      <w:pPr>
        <w:keepNext/>
        <w:tabs>
          <w:tab w:val="clear" w:pos="1134"/>
        </w:tabs>
        <w:spacing w:before="480" w:after="200" w:line="276" w:lineRule="auto"/>
        <w:ind w:left="1123" w:hanging="1123"/>
        <w:jc w:val="left"/>
        <w:outlineLvl w:val="3"/>
        <w:rPr>
          <w:rFonts w:eastAsiaTheme="minorHAnsi" w:cstheme="majorBidi"/>
          <w:b/>
          <w:bCs/>
          <w:caps/>
          <w:lang w:val="es-419"/>
        </w:rPr>
      </w:pPr>
      <w:bookmarkStart w:id="31" w:name="_Toc113003287"/>
      <w:bookmarkStart w:id="32" w:name="_Toc113024412"/>
      <w:bookmarkStart w:id="33" w:name="_Toc117501944"/>
      <w:r>
        <w:rPr>
          <w:b/>
          <w:bCs/>
          <w:lang w:val="es-ES"/>
        </w:rPr>
        <w:t>1.3</w:t>
      </w:r>
      <w:r>
        <w:rPr>
          <w:lang w:val="es-ES"/>
        </w:rPr>
        <w:tab/>
      </w:r>
      <w:r w:rsidR="005143E4">
        <w:rPr>
          <w:b/>
          <w:bCs/>
          <w:lang w:val="es-ES"/>
        </w:rPr>
        <w:t>ORGANIZACIÓN DEL SISTEMA MUNDIAL DE PROCESO DE DATOS Y DE PREDICCIÓN</w:t>
      </w:r>
      <w:r w:rsidR="005143E4">
        <w:rPr>
          <w:lang w:val="es-ES"/>
        </w:rPr>
        <w:t xml:space="preserve"> </w:t>
      </w:r>
      <w:bookmarkStart w:id="34" w:name="_p_44361C36D8340F4DBC5956FD90E806B9"/>
      <w:bookmarkEnd w:id="31"/>
      <w:bookmarkEnd w:id="32"/>
      <w:bookmarkEnd w:id="33"/>
      <w:bookmarkEnd w:id="34"/>
    </w:p>
    <w:p w14:paraId="322B4C03" w14:textId="7B37DF92" w:rsidR="003E5D1B" w:rsidRPr="008357EA" w:rsidRDefault="00E26782">
      <w:pPr>
        <w:keepNext/>
        <w:spacing w:before="240" w:after="240" w:line="240" w:lineRule="exact"/>
        <w:ind w:left="1123" w:hanging="1123"/>
        <w:jc w:val="left"/>
        <w:outlineLvl w:val="4"/>
        <w:rPr>
          <w:b/>
          <w:bCs/>
          <w:color w:val="000000" w:themeColor="text1"/>
          <w:lang w:val="es-419"/>
        </w:rPr>
      </w:pPr>
      <w:bookmarkStart w:id="35" w:name="_Toc113003288"/>
      <w:bookmarkStart w:id="36" w:name="_Toc113024413"/>
      <w:bookmarkStart w:id="37" w:name="_Toc117501945"/>
      <w:r>
        <w:rPr>
          <w:b/>
          <w:bCs/>
          <w:lang w:val="es-ES"/>
        </w:rPr>
        <w:t>1.3.1</w:t>
      </w:r>
      <w:r>
        <w:rPr>
          <w:lang w:val="es-ES"/>
        </w:rPr>
        <w:tab/>
      </w:r>
      <w:r>
        <w:rPr>
          <w:b/>
          <w:bCs/>
          <w:lang w:val="es-ES"/>
        </w:rPr>
        <w:t>Introducción</w:t>
      </w:r>
      <w:bookmarkEnd w:id="35"/>
      <w:bookmarkEnd w:id="36"/>
      <w:bookmarkEnd w:id="37"/>
    </w:p>
    <w:p w14:paraId="420FDC6B" w14:textId="77777777" w:rsidR="003E5D1B" w:rsidRPr="008357EA" w:rsidRDefault="00E26782">
      <w:pPr>
        <w:spacing w:after="240" w:line="240" w:lineRule="exact"/>
        <w:rPr>
          <w:rFonts w:eastAsiaTheme="minorEastAsia" w:cstheme="majorBidi"/>
          <w:color w:val="000000" w:themeColor="text1"/>
          <w:lang w:val="es-419"/>
        </w:rPr>
      </w:pPr>
      <w:r>
        <w:rPr>
          <w:lang w:val="es-ES"/>
        </w:rPr>
        <w:t>El GDPFS es el marco mundial para el intercambio de datos, productos e información. Su finalidad es poner a disposición de los Miembros de la OMM, en contextos operativos, productos y servicios convenidos destinados a aplicaciones relacionadas con el tiempo, el clima, el agua y el medio ambiente. El GDPFS, por lo tanto, permite que los Miembros de la OMM intercambien los avances científicos y tecnológicos en meteorología y en los campos relacionados de la manera más eficiente y eficaz posible, en su propio beneficio.</w:t>
      </w:r>
    </w:p>
    <w:p w14:paraId="7587B9BA" w14:textId="5D7AE020" w:rsidR="003E5D1B" w:rsidRPr="008357EA" w:rsidRDefault="00E26782">
      <w:pPr>
        <w:spacing w:after="240" w:line="240" w:lineRule="exact"/>
        <w:rPr>
          <w:rFonts w:eastAsiaTheme="minorEastAsia" w:cstheme="majorBidi"/>
          <w:color w:val="000000" w:themeColor="text1"/>
          <w:lang w:val="es-419"/>
        </w:rPr>
      </w:pPr>
      <w:r>
        <w:rPr>
          <w:lang w:val="es-ES"/>
        </w:rPr>
        <w:lastRenderedPageBreak/>
        <w:t xml:space="preserve">Las actividades, la estructura orgánica y las operaciones del GDPFS están diseñadas de conformidad con las necesidades de los Miembros y con su capacidad para contribuir al sistema y </w:t>
      </w:r>
      <w:r w:rsidR="00251497">
        <w:rPr>
          <w:lang w:val="es-ES"/>
        </w:rPr>
        <w:t>obtener beneficios</w:t>
      </w:r>
      <w:r>
        <w:rPr>
          <w:lang w:val="es-ES"/>
        </w:rPr>
        <w:t xml:space="preserve"> de él. Un objetivo clave es facilitar la cooperación y el intercambio de información, y contribuir así también a la creación de capacidad entre los países en desarrollo y los menos adelantados. </w:t>
      </w:r>
    </w:p>
    <w:p w14:paraId="72ED11FF" w14:textId="77777777" w:rsidR="003E5D1B" w:rsidRPr="00251497" w:rsidRDefault="00E26782" w:rsidP="00251497">
      <w:pPr>
        <w:tabs>
          <w:tab w:val="clear" w:pos="1134"/>
          <w:tab w:val="left" w:pos="960"/>
        </w:tabs>
        <w:spacing w:after="240" w:line="240" w:lineRule="exact"/>
        <w:jc w:val="left"/>
        <w:rPr>
          <w:color w:val="000000" w:themeColor="text1"/>
          <w:szCs w:val="22"/>
          <w:lang w:val="es-419"/>
        </w:rPr>
      </w:pPr>
      <w:r>
        <w:rPr>
          <w:lang w:val="es-ES"/>
        </w:rPr>
        <w:t>Los productos y servicios convenidos destinados a aplicaciones relacionadas con el tiempo, el clima</w:t>
      </w:r>
      <w:r w:rsidRPr="00251497">
        <w:rPr>
          <w:color w:val="000000" w:themeColor="text1"/>
          <w:szCs w:val="22"/>
          <w:lang w:val="es-419"/>
        </w:rPr>
        <w:t>, el agua y el medio ambiente son los siguientes:</w:t>
      </w:r>
    </w:p>
    <w:p w14:paraId="0BD8668A" w14:textId="5E3F3AF4" w:rsidR="003E5D1B" w:rsidRDefault="00E26782" w:rsidP="00251497">
      <w:pPr>
        <w:pStyle w:val="ListParagraph"/>
        <w:numPr>
          <w:ilvl w:val="0"/>
          <w:numId w:val="43"/>
        </w:numPr>
        <w:tabs>
          <w:tab w:val="left" w:pos="960"/>
        </w:tabs>
        <w:spacing w:after="240" w:line="240" w:lineRule="exact"/>
        <w:rPr>
          <w:rFonts w:ascii="Verdana" w:hAnsi="Verdana"/>
          <w:color w:val="000000" w:themeColor="text1"/>
          <w:sz w:val="20"/>
          <w:szCs w:val="20"/>
          <w:lang w:val="es-419"/>
        </w:rPr>
      </w:pPr>
      <w:r w:rsidRPr="00251497">
        <w:rPr>
          <w:rFonts w:ascii="Verdana" w:hAnsi="Verdana"/>
          <w:color w:val="000000" w:themeColor="text1"/>
          <w:sz w:val="20"/>
          <w:szCs w:val="20"/>
          <w:lang w:val="es-419"/>
        </w:rPr>
        <w:t xml:space="preserve">Productos del sistema de predicción del sistema Tierra, </w:t>
      </w:r>
      <w:r w:rsidR="00251497">
        <w:rPr>
          <w:rFonts w:ascii="Verdana" w:hAnsi="Verdana"/>
          <w:color w:val="000000" w:themeColor="text1"/>
          <w:sz w:val="20"/>
          <w:szCs w:val="20"/>
          <w:lang w:val="es-419"/>
        </w:rPr>
        <w:t>entre ellos</w:t>
      </w:r>
      <w:r w:rsidRPr="00251497">
        <w:rPr>
          <w:rFonts w:ascii="Verdana" w:hAnsi="Verdana"/>
          <w:color w:val="000000" w:themeColor="text1"/>
          <w:sz w:val="20"/>
          <w:szCs w:val="20"/>
          <w:lang w:val="es-419"/>
        </w:rPr>
        <w:t xml:space="preserve"> los de predicción numérica del tiempo, oceanográfica y climática (análisis y predicciones, </w:t>
      </w:r>
      <w:r w:rsidR="00251497">
        <w:rPr>
          <w:rFonts w:ascii="Verdana" w:hAnsi="Verdana"/>
          <w:color w:val="000000" w:themeColor="text1"/>
          <w:sz w:val="20"/>
          <w:szCs w:val="20"/>
          <w:lang w:val="es-419"/>
        </w:rPr>
        <w:t>incluida la</w:t>
      </w:r>
      <w:r w:rsidRPr="00251497">
        <w:rPr>
          <w:rFonts w:ascii="Verdana" w:hAnsi="Verdana"/>
          <w:color w:val="000000" w:themeColor="text1"/>
          <w:sz w:val="20"/>
          <w:szCs w:val="20"/>
          <w:lang w:val="es-419"/>
        </w:rPr>
        <w:t xml:space="preserve"> información probabilística producida a partir de sistemas de predicción por conjuntos).</w:t>
      </w:r>
    </w:p>
    <w:p w14:paraId="3F8A40B8" w14:textId="77777777" w:rsidR="00251497" w:rsidRPr="00251497" w:rsidRDefault="00251497" w:rsidP="00251497">
      <w:pPr>
        <w:pStyle w:val="ListParagraph"/>
        <w:tabs>
          <w:tab w:val="left" w:pos="960"/>
        </w:tabs>
        <w:spacing w:after="240" w:line="240" w:lineRule="exact"/>
        <w:ind w:left="1200"/>
        <w:rPr>
          <w:rFonts w:ascii="Verdana" w:hAnsi="Verdana"/>
          <w:color w:val="000000" w:themeColor="text1"/>
          <w:sz w:val="20"/>
          <w:szCs w:val="20"/>
          <w:lang w:val="es-419"/>
        </w:rPr>
      </w:pPr>
    </w:p>
    <w:p w14:paraId="07E27C33" w14:textId="5E2E8934" w:rsidR="003E5D1B" w:rsidRPr="00251497" w:rsidRDefault="00E26782" w:rsidP="00251497">
      <w:pPr>
        <w:pStyle w:val="ListParagraph"/>
        <w:numPr>
          <w:ilvl w:val="0"/>
          <w:numId w:val="43"/>
        </w:numPr>
        <w:tabs>
          <w:tab w:val="left" w:pos="960"/>
        </w:tabs>
        <w:spacing w:after="240" w:line="240" w:lineRule="exact"/>
        <w:rPr>
          <w:rFonts w:ascii="Verdana" w:hAnsi="Verdana"/>
          <w:color w:val="000000" w:themeColor="text1"/>
          <w:sz w:val="20"/>
          <w:szCs w:val="20"/>
          <w:lang w:val="es-419"/>
        </w:rPr>
      </w:pPr>
      <w:r w:rsidRPr="00251497">
        <w:rPr>
          <w:rFonts w:ascii="Verdana" w:hAnsi="Verdana"/>
          <w:color w:val="000000" w:themeColor="text1"/>
          <w:sz w:val="20"/>
          <w:szCs w:val="20"/>
          <w:lang w:val="es-419"/>
        </w:rPr>
        <w:t xml:space="preserve">Productos especializados adaptados a aplicaciones </w:t>
      </w:r>
      <w:r w:rsidR="00E72A54">
        <w:rPr>
          <w:rFonts w:ascii="Verdana" w:hAnsi="Verdana"/>
          <w:color w:val="000000" w:themeColor="text1"/>
          <w:sz w:val="20"/>
          <w:szCs w:val="20"/>
          <w:lang w:val="es-419"/>
        </w:rPr>
        <w:t>concretas</w:t>
      </w:r>
      <w:r w:rsidRPr="00251497">
        <w:rPr>
          <w:rFonts w:ascii="Verdana" w:hAnsi="Verdana"/>
          <w:color w:val="000000" w:themeColor="text1"/>
          <w:sz w:val="20"/>
          <w:szCs w:val="20"/>
          <w:lang w:val="es-419"/>
        </w:rPr>
        <w:t>.</w:t>
      </w:r>
    </w:p>
    <w:p w14:paraId="16C36F9F" w14:textId="629F85D4" w:rsidR="003E5D1B" w:rsidRPr="008357EA" w:rsidRDefault="00E26782">
      <w:pPr>
        <w:spacing w:after="240" w:line="240" w:lineRule="exact"/>
        <w:rPr>
          <w:rFonts w:eastAsiaTheme="minorEastAsia" w:cstheme="majorBidi"/>
          <w:color w:val="000000" w:themeColor="text1"/>
          <w:lang w:val="es-419"/>
        </w:rPr>
      </w:pPr>
      <w:r>
        <w:rPr>
          <w:lang w:val="es-ES"/>
        </w:rPr>
        <w:t xml:space="preserve">La exactitud de los productos de predicción que proporcionan los centros del GDPFS debe controlarse aplicando procedimientos de verificación. La finalidad es proporcionar un método de verificación normalizado y uniforme de los productos de predicción de los centros del GDPFS, de modo que los usuarios puedan aprovechar al máximo los productos y que además se puedan detectar oportunidades </w:t>
      </w:r>
      <w:r w:rsidR="008D420C">
        <w:rPr>
          <w:lang w:val="es-ES"/>
        </w:rPr>
        <w:t xml:space="preserve">para introducir </w:t>
      </w:r>
      <w:r>
        <w:rPr>
          <w:lang w:val="es-ES"/>
        </w:rPr>
        <w:t xml:space="preserve">mejoras. Los centros del GDPFS deben preparar los datos de verificación de acuerdo con los procedimientos normalizados que se definen en el </w:t>
      </w:r>
      <w:r w:rsidR="002D6434" w:rsidRPr="002D6434">
        <w:rPr>
          <w:i/>
          <w:iCs/>
          <w:lang w:val="es-ES"/>
        </w:rPr>
        <w:t>Manual del Sistema Mundial de Proceso de Datos y de Predicción</w:t>
      </w:r>
      <w:r>
        <w:rPr>
          <w:lang w:val="es-ES"/>
        </w:rPr>
        <w:t xml:space="preserve"> (</w:t>
      </w:r>
      <w:r w:rsidR="00EB4587">
        <w:rPr>
          <w:lang w:val="es-ES"/>
        </w:rPr>
        <w:t>OMM</w:t>
      </w:r>
      <w:r w:rsidR="00EB4587">
        <w:rPr>
          <w:lang w:val="es-ES"/>
        </w:rPr>
        <w:noBreakHyphen/>
        <w:t>Nº</w:t>
      </w:r>
      <w:r w:rsidR="0093047C">
        <w:rPr>
          <w:lang w:val="es-ES"/>
        </w:rPr>
        <w:t> </w:t>
      </w:r>
      <w:r>
        <w:rPr>
          <w:lang w:val="es-ES"/>
        </w:rPr>
        <w:t xml:space="preserve">485). </w:t>
      </w:r>
    </w:p>
    <w:p w14:paraId="629DD7FD" w14:textId="16C3AF65" w:rsidR="003E5D1B" w:rsidRPr="008357EA" w:rsidRDefault="00E26782">
      <w:pPr>
        <w:spacing w:after="240" w:line="240" w:lineRule="exact"/>
        <w:rPr>
          <w:rFonts w:eastAsiaTheme="minorEastAsia" w:cstheme="majorBidi"/>
          <w:color w:val="000000" w:themeColor="text1"/>
          <w:lang w:val="es-419"/>
        </w:rPr>
      </w:pPr>
      <w:r>
        <w:rPr>
          <w:lang w:val="es-ES"/>
        </w:rPr>
        <w:t xml:space="preserve">Entre las funciones en tiempo no real del GDPFS se encuentran el almacenamiento a largo plazo de observaciones, productos y resultados de verificación con fines operativos y de investigación. Los centros del GDPFS deberían instrumentar un sistema de archivo y recuperación para atender las necesidades del proceso de mejora continua. Ese proceso debería incluir, entre otras cosas, la evaluación en tiempo no real de sus productos y la capacidad para volver a </w:t>
      </w:r>
      <w:r w:rsidR="008D420C">
        <w:rPr>
          <w:lang w:val="es-ES"/>
        </w:rPr>
        <w:t>ejecutar</w:t>
      </w:r>
      <w:r>
        <w:rPr>
          <w:lang w:val="es-ES"/>
        </w:rPr>
        <w:t xml:space="preserve"> el conjunto de productos operativos. </w:t>
      </w:r>
    </w:p>
    <w:p w14:paraId="5C73EBB6" w14:textId="77777777" w:rsidR="003E5D1B" w:rsidRPr="008357EA" w:rsidRDefault="00E26782">
      <w:pPr>
        <w:spacing w:after="240" w:line="240" w:lineRule="exact"/>
        <w:rPr>
          <w:rFonts w:eastAsiaTheme="minorEastAsia" w:cstheme="majorBidi"/>
          <w:color w:val="000000" w:themeColor="text1"/>
          <w:lang w:val="es-419"/>
        </w:rPr>
      </w:pPr>
      <w:r>
        <w:rPr>
          <w:lang w:val="es-ES"/>
        </w:rPr>
        <w:t xml:space="preserve">Los Miembros que administran CMN, CMRE, CMM y redes de CMRE deberían mantener el proceso normalizado de predicción meteorológica. En la parte II de la presente Guía se ofrecen recomendaciones sobre dicho proceso. </w:t>
      </w:r>
    </w:p>
    <w:p w14:paraId="6626870C" w14:textId="379F2CC4" w:rsidR="003E5D1B" w:rsidRPr="008357EA" w:rsidRDefault="00E26782">
      <w:pPr>
        <w:keepNext/>
        <w:spacing w:before="240" w:after="240" w:line="240" w:lineRule="exact"/>
        <w:ind w:left="1123" w:hanging="1123"/>
        <w:jc w:val="left"/>
        <w:outlineLvl w:val="4"/>
        <w:rPr>
          <w:b/>
          <w:bCs/>
          <w:color w:val="000000" w:themeColor="text1"/>
          <w:lang w:val="es-419"/>
        </w:rPr>
      </w:pPr>
      <w:bookmarkStart w:id="38" w:name="_Toc113003289"/>
      <w:bookmarkStart w:id="39" w:name="_Toc113024414"/>
      <w:bookmarkStart w:id="40" w:name="_Toc117501946"/>
      <w:r>
        <w:rPr>
          <w:b/>
          <w:bCs/>
          <w:lang w:val="es-ES"/>
        </w:rPr>
        <w:t>1.3.2</w:t>
      </w:r>
      <w:r>
        <w:rPr>
          <w:lang w:val="es-ES"/>
        </w:rPr>
        <w:tab/>
      </w:r>
      <w:r>
        <w:rPr>
          <w:lang w:val="es-ES"/>
        </w:rPr>
        <w:tab/>
      </w:r>
      <w:r>
        <w:rPr>
          <w:b/>
          <w:bCs/>
          <w:lang w:val="es-ES"/>
        </w:rPr>
        <w:t>Actividades del Sistema Mundial de Proceso de Datos y de Predicción</w:t>
      </w:r>
      <w:bookmarkEnd w:id="38"/>
      <w:bookmarkEnd w:id="39"/>
      <w:bookmarkEnd w:id="40"/>
    </w:p>
    <w:p w14:paraId="6F17C0B5" w14:textId="79AA1775" w:rsidR="003E5D1B" w:rsidRPr="008357EA" w:rsidRDefault="008D420C">
      <w:pPr>
        <w:spacing w:after="240" w:line="240" w:lineRule="exact"/>
        <w:rPr>
          <w:rFonts w:eastAsiaTheme="minorEastAsia" w:cstheme="majorBidi"/>
          <w:color w:val="000000" w:themeColor="text1"/>
          <w:lang w:val="es-419"/>
        </w:rPr>
      </w:pPr>
      <w:r>
        <w:rPr>
          <w:lang w:val="es-ES"/>
        </w:rPr>
        <w:t xml:space="preserve">En el marco del GDPFS, las </w:t>
      </w:r>
      <w:r>
        <w:rPr>
          <w:i/>
          <w:iCs/>
          <w:lang w:val="es-ES"/>
        </w:rPr>
        <w:t xml:space="preserve">actividades </w:t>
      </w:r>
      <w:r>
        <w:rPr>
          <w:lang w:val="es-ES"/>
        </w:rPr>
        <w:t xml:space="preserve">se estructuran como un sistema </w:t>
      </w:r>
      <w:r w:rsidR="004D3098">
        <w:rPr>
          <w:lang w:val="es-ES"/>
        </w:rPr>
        <w:t>de</w:t>
      </w:r>
      <w:r>
        <w:rPr>
          <w:lang w:val="es-ES"/>
        </w:rPr>
        <w:t xml:space="preserve"> tres niveles, a saber: actividades de carácter general, actividades especializadas y actividades de coordinación en tiempo no real. </w:t>
      </w:r>
      <w:r w:rsidR="00B95950">
        <w:rPr>
          <w:lang w:val="es-ES"/>
        </w:rPr>
        <w:t>L</w:t>
      </w:r>
      <w:r>
        <w:rPr>
          <w:lang w:val="es-ES"/>
        </w:rPr>
        <w:t>as actividades de carácter general abarca</w:t>
      </w:r>
      <w:r w:rsidR="00B95950">
        <w:rPr>
          <w:lang w:val="es-ES"/>
        </w:rPr>
        <w:t>n</w:t>
      </w:r>
      <w:r>
        <w:rPr>
          <w:lang w:val="es-ES"/>
        </w:rPr>
        <w:t xml:space="preserve"> el proceso de datos esenciales necesarios para una amplia gama de usos finales, mientras que las actividades especializadas son </w:t>
      </w:r>
      <w:r w:rsidR="00B95950">
        <w:rPr>
          <w:lang w:val="es-ES"/>
        </w:rPr>
        <w:t>aquellas en que se</w:t>
      </w:r>
      <w:r>
        <w:rPr>
          <w:lang w:val="es-ES"/>
        </w:rPr>
        <w:t xml:space="preserve"> elabora</w:t>
      </w:r>
      <w:r w:rsidR="00B95950">
        <w:rPr>
          <w:lang w:val="es-ES"/>
        </w:rPr>
        <w:t>n</w:t>
      </w:r>
      <w:r>
        <w:rPr>
          <w:lang w:val="es-ES"/>
        </w:rPr>
        <w:t xml:space="preserve"> productos de predicción, entre los que puede haber orientaciones basadas en la interpretación humana, adaptadas a un tipo concreto de aplicación o comunidad de usuarios. Las actividades de coordinación operativa en tiempo no real también forman parte del GDPFS y generalmente </w:t>
      </w:r>
      <w:r w:rsidR="001C227B">
        <w:rPr>
          <w:lang w:val="es-ES"/>
        </w:rPr>
        <w:t>se refieren a</w:t>
      </w:r>
      <w:r w:rsidR="004D3098">
        <w:rPr>
          <w:lang w:val="es-ES"/>
        </w:rPr>
        <w:t xml:space="preserve"> archivar</w:t>
      </w:r>
      <w:r>
        <w:rPr>
          <w:lang w:val="es-ES"/>
        </w:rPr>
        <w:t xml:space="preserve"> datos o </w:t>
      </w:r>
      <w:r w:rsidR="004D3098">
        <w:rPr>
          <w:lang w:val="es-ES"/>
        </w:rPr>
        <w:t>verificar</w:t>
      </w:r>
      <w:r>
        <w:rPr>
          <w:lang w:val="es-ES"/>
        </w:rPr>
        <w:t xml:space="preserve"> predicciones.</w:t>
      </w:r>
    </w:p>
    <w:p w14:paraId="7D48C86D" w14:textId="0096F39E" w:rsidR="003E5D1B" w:rsidRPr="008357EA" w:rsidRDefault="001C227B">
      <w:pPr>
        <w:spacing w:after="240" w:line="240" w:lineRule="exact"/>
        <w:rPr>
          <w:rFonts w:eastAsiaTheme="minorEastAsia" w:cstheme="majorBidi"/>
          <w:color w:val="000000" w:themeColor="text1"/>
          <w:lang w:val="es-419"/>
        </w:rPr>
      </w:pPr>
      <w:r>
        <w:rPr>
          <w:lang w:val="es-ES"/>
        </w:rPr>
        <w:t xml:space="preserve">En esta sección se proporciona la lista de actividades del GDPFS; en la parte II del </w:t>
      </w:r>
      <w:r w:rsidR="002D6434" w:rsidRPr="002D6434">
        <w:rPr>
          <w:i/>
          <w:iCs/>
          <w:lang w:val="es-ES"/>
        </w:rPr>
        <w:t>Manual del Sistema Mundial de Proceso de Datos y de Predicción</w:t>
      </w:r>
      <w:r>
        <w:rPr>
          <w:lang w:val="es-ES"/>
        </w:rPr>
        <w:t xml:space="preserve"> (</w:t>
      </w:r>
      <w:r w:rsidR="00EB4587">
        <w:rPr>
          <w:lang w:val="es-ES"/>
        </w:rPr>
        <w:t>OMM</w:t>
      </w:r>
      <w:r w:rsidR="00EB4587">
        <w:rPr>
          <w:lang w:val="es-ES"/>
        </w:rPr>
        <w:noBreakHyphen/>
        <w:t>Nº</w:t>
      </w:r>
      <w:r w:rsidR="0093047C">
        <w:rPr>
          <w:lang w:val="es-ES"/>
        </w:rPr>
        <w:t> </w:t>
      </w:r>
      <w:r>
        <w:rPr>
          <w:lang w:val="es-ES"/>
        </w:rPr>
        <w:t>485) se describen los compromisos conexos y otros datos.</w:t>
      </w:r>
    </w:p>
    <w:p w14:paraId="6C3DF45B" w14:textId="77777777" w:rsidR="003E5D1B" w:rsidRDefault="00E26782">
      <w:pPr>
        <w:ind w:left="360" w:hanging="360"/>
      </w:pPr>
      <w:r>
        <w:rPr>
          <w:lang w:val="es-ES"/>
        </w:rPr>
        <w:t>Actividades de carácter general:</w:t>
      </w:r>
    </w:p>
    <w:p w14:paraId="1FD44384" w14:textId="5B33A48D" w:rsidR="003E5D1B" w:rsidRPr="008357EA" w:rsidRDefault="00600EC6">
      <w:pPr>
        <w:numPr>
          <w:ilvl w:val="0"/>
          <w:numId w:val="7"/>
        </w:numPr>
        <w:tabs>
          <w:tab w:val="clear" w:pos="1134"/>
          <w:tab w:val="left" w:pos="960"/>
        </w:tabs>
        <w:spacing w:line="240" w:lineRule="exact"/>
        <w:jc w:val="left"/>
        <w:rPr>
          <w:color w:val="000000" w:themeColor="text1"/>
          <w:szCs w:val="22"/>
          <w:lang w:val="es-419"/>
        </w:rPr>
      </w:pPr>
      <w:r>
        <w:rPr>
          <w:lang w:val="es-ES"/>
        </w:rPr>
        <w:t>Predicción numérica del tiempo determinística a escala mundial</w:t>
      </w:r>
    </w:p>
    <w:p w14:paraId="2D2EED8E" w14:textId="673CA9A9" w:rsidR="003E5D1B" w:rsidRPr="008357EA" w:rsidRDefault="00600EC6">
      <w:pPr>
        <w:numPr>
          <w:ilvl w:val="0"/>
          <w:numId w:val="7"/>
        </w:numPr>
        <w:tabs>
          <w:tab w:val="clear" w:pos="1134"/>
          <w:tab w:val="left" w:pos="960"/>
        </w:tabs>
        <w:spacing w:line="240" w:lineRule="exact"/>
        <w:jc w:val="left"/>
        <w:rPr>
          <w:color w:val="000000" w:themeColor="text1"/>
          <w:szCs w:val="22"/>
          <w:lang w:val="es-419"/>
        </w:rPr>
      </w:pPr>
      <w:r>
        <w:rPr>
          <w:lang w:val="es-ES"/>
        </w:rPr>
        <w:t>Predicción numérica del tiempo determinística de área limitada</w:t>
      </w:r>
    </w:p>
    <w:p w14:paraId="7C5C28D0" w14:textId="1D459C93" w:rsidR="003E5D1B" w:rsidRPr="008357EA" w:rsidRDefault="00600EC6">
      <w:pPr>
        <w:numPr>
          <w:ilvl w:val="0"/>
          <w:numId w:val="7"/>
        </w:numPr>
        <w:tabs>
          <w:tab w:val="clear" w:pos="1134"/>
          <w:tab w:val="left" w:pos="960"/>
        </w:tabs>
        <w:spacing w:line="240" w:lineRule="exact"/>
        <w:jc w:val="left"/>
        <w:rPr>
          <w:color w:val="000000" w:themeColor="text1"/>
          <w:szCs w:val="22"/>
          <w:lang w:val="es-419"/>
        </w:rPr>
      </w:pPr>
      <w:r>
        <w:rPr>
          <w:lang w:val="es-ES"/>
        </w:rPr>
        <w:t>Predicción numérica del tiempo por conjuntos a escala mundial</w:t>
      </w:r>
    </w:p>
    <w:p w14:paraId="7696B7A8" w14:textId="129487A0" w:rsidR="003E5D1B" w:rsidRPr="008357EA" w:rsidRDefault="00600EC6">
      <w:pPr>
        <w:numPr>
          <w:ilvl w:val="0"/>
          <w:numId w:val="7"/>
        </w:numPr>
        <w:tabs>
          <w:tab w:val="clear" w:pos="1134"/>
          <w:tab w:val="left" w:pos="960"/>
        </w:tabs>
        <w:spacing w:line="240" w:lineRule="exact"/>
        <w:jc w:val="left"/>
        <w:rPr>
          <w:color w:val="000000" w:themeColor="text1"/>
          <w:szCs w:val="22"/>
          <w:lang w:val="es-419"/>
        </w:rPr>
      </w:pPr>
      <w:r>
        <w:rPr>
          <w:lang w:val="es-ES"/>
        </w:rPr>
        <w:t>Predicción numérica del tiempo por conjuntos de área limitada</w:t>
      </w:r>
    </w:p>
    <w:p w14:paraId="0F10B13A" w14:textId="6BDE30F0" w:rsidR="003E5D1B" w:rsidRPr="008357EA" w:rsidRDefault="00600EC6">
      <w:pPr>
        <w:numPr>
          <w:ilvl w:val="0"/>
          <w:numId w:val="7"/>
        </w:numPr>
        <w:tabs>
          <w:tab w:val="clear" w:pos="1134"/>
          <w:tab w:val="left" w:pos="960"/>
        </w:tabs>
        <w:spacing w:line="240" w:lineRule="exact"/>
        <w:jc w:val="left"/>
        <w:rPr>
          <w:color w:val="000000" w:themeColor="text1"/>
          <w:szCs w:val="22"/>
          <w:lang w:val="es-419"/>
        </w:rPr>
      </w:pPr>
      <w:r>
        <w:rPr>
          <w:lang w:val="es-ES"/>
        </w:rPr>
        <w:t>Predicci</w:t>
      </w:r>
      <w:r w:rsidR="002E1451">
        <w:rPr>
          <w:lang w:val="es-ES"/>
        </w:rPr>
        <w:t>ón</w:t>
      </w:r>
      <w:r>
        <w:rPr>
          <w:lang w:val="es-ES"/>
        </w:rPr>
        <w:t xml:space="preserve"> numérica subestacional a escala mundial</w:t>
      </w:r>
    </w:p>
    <w:p w14:paraId="0E6BC807" w14:textId="615F32C1" w:rsidR="003E5D1B" w:rsidRPr="008357EA" w:rsidRDefault="00600EC6">
      <w:pPr>
        <w:numPr>
          <w:ilvl w:val="0"/>
          <w:numId w:val="7"/>
        </w:numPr>
        <w:tabs>
          <w:tab w:val="clear" w:pos="1134"/>
          <w:tab w:val="left" w:pos="960"/>
        </w:tabs>
        <w:spacing w:line="240" w:lineRule="exact"/>
        <w:jc w:val="left"/>
        <w:rPr>
          <w:color w:val="000000" w:themeColor="text1"/>
          <w:szCs w:val="22"/>
          <w:lang w:val="es-419"/>
        </w:rPr>
      </w:pPr>
      <w:r>
        <w:rPr>
          <w:lang w:val="es-ES"/>
        </w:rPr>
        <w:t>Predicción numérica a largo plazo a escala mundial</w:t>
      </w:r>
    </w:p>
    <w:p w14:paraId="57E572BB" w14:textId="1C2AEE9B" w:rsidR="003E5D1B" w:rsidRPr="008357EA" w:rsidRDefault="00600EC6">
      <w:pPr>
        <w:numPr>
          <w:ilvl w:val="0"/>
          <w:numId w:val="7"/>
        </w:numPr>
        <w:tabs>
          <w:tab w:val="clear" w:pos="1134"/>
          <w:tab w:val="left" w:pos="960"/>
        </w:tabs>
        <w:spacing w:line="240" w:lineRule="exact"/>
        <w:jc w:val="left"/>
        <w:rPr>
          <w:color w:val="000000" w:themeColor="text1"/>
          <w:szCs w:val="22"/>
          <w:lang w:val="es-419"/>
        </w:rPr>
      </w:pPr>
      <w:r>
        <w:rPr>
          <w:lang w:val="es-ES"/>
        </w:rPr>
        <w:t>Predicción climática anual a decenal</w:t>
      </w:r>
    </w:p>
    <w:p w14:paraId="186F66FF" w14:textId="361077A4" w:rsidR="003E5D1B" w:rsidRPr="008357EA" w:rsidRDefault="00600EC6">
      <w:pPr>
        <w:numPr>
          <w:ilvl w:val="0"/>
          <w:numId w:val="7"/>
        </w:numPr>
        <w:tabs>
          <w:tab w:val="clear" w:pos="1134"/>
          <w:tab w:val="left" w:pos="960"/>
        </w:tabs>
        <w:spacing w:line="240" w:lineRule="exact"/>
        <w:jc w:val="left"/>
        <w:rPr>
          <w:color w:val="000000" w:themeColor="text1"/>
          <w:szCs w:val="22"/>
          <w:lang w:val="es-419"/>
        </w:rPr>
      </w:pPr>
      <w:r>
        <w:rPr>
          <w:lang w:val="es-ES"/>
        </w:rPr>
        <w:lastRenderedPageBreak/>
        <w:t>Predicción numérica de olas oceánicas</w:t>
      </w:r>
    </w:p>
    <w:p w14:paraId="04CF102B" w14:textId="30CAA56C" w:rsidR="003E5D1B" w:rsidRPr="008357EA" w:rsidRDefault="00600EC6">
      <w:pPr>
        <w:numPr>
          <w:ilvl w:val="0"/>
          <w:numId w:val="7"/>
        </w:numPr>
        <w:tabs>
          <w:tab w:val="clear" w:pos="1134"/>
          <w:tab w:val="left" w:pos="960"/>
        </w:tabs>
        <w:spacing w:line="240" w:lineRule="exact"/>
        <w:jc w:val="left"/>
        <w:rPr>
          <w:color w:val="000000" w:themeColor="text1"/>
          <w:szCs w:val="22"/>
          <w:lang w:val="es-419"/>
        </w:rPr>
      </w:pPr>
      <w:r>
        <w:rPr>
          <w:lang w:val="es-ES"/>
        </w:rPr>
        <w:t>Predicción numérica oceánica a escala mundial</w:t>
      </w:r>
    </w:p>
    <w:p w14:paraId="16ABF8B2" w14:textId="4723B3D6" w:rsidR="003E5D1B" w:rsidRDefault="00600EC6">
      <w:pPr>
        <w:numPr>
          <w:ilvl w:val="0"/>
          <w:numId w:val="7"/>
        </w:numPr>
        <w:tabs>
          <w:tab w:val="clear" w:pos="1134"/>
          <w:tab w:val="left" w:pos="960"/>
        </w:tabs>
        <w:spacing w:line="240" w:lineRule="exact"/>
        <w:jc w:val="left"/>
        <w:rPr>
          <w:color w:val="000000" w:themeColor="text1"/>
          <w:szCs w:val="22"/>
        </w:rPr>
      </w:pPr>
      <w:r>
        <w:rPr>
          <w:lang w:val="es-ES"/>
        </w:rPr>
        <w:t>Predicción inmediata</w:t>
      </w:r>
    </w:p>
    <w:p w14:paraId="5E708B8B" w14:textId="77777777" w:rsidR="003E5D1B" w:rsidRDefault="003E5D1B">
      <w:pPr>
        <w:ind w:left="360" w:hanging="360"/>
      </w:pPr>
    </w:p>
    <w:p w14:paraId="1EA64D42" w14:textId="77777777" w:rsidR="003E5D1B" w:rsidRDefault="00E26782">
      <w:pPr>
        <w:ind w:left="360" w:hanging="360"/>
      </w:pPr>
      <w:r>
        <w:rPr>
          <w:lang w:val="es-ES"/>
        </w:rPr>
        <w:t>Actividades especializadas:</w:t>
      </w:r>
    </w:p>
    <w:p w14:paraId="6CEE96D2" w14:textId="300B2588" w:rsidR="003E5D1B" w:rsidRPr="008357EA" w:rsidRDefault="00600EC6">
      <w:pPr>
        <w:numPr>
          <w:ilvl w:val="0"/>
          <w:numId w:val="7"/>
        </w:numPr>
        <w:tabs>
          <w:tab w:val="clear" w:pos="1134"/>
          <w:tab w:val="left" w:pos="960"/>
        </w:tabs>
        <w:spacing w:line="240" w:lineRule="exact"/>
        <w:jc w:val="left"/>
        <w:rPr>
          <w:color w:val="000000" w:themeColor="text1"/>
          <w:szCs w:val="22"/>
          <w:lang w:val="es-419"/>
        </w:rPr>
      </w:pPr>
      <w:r>
        <w:rPr>
          <w:lang w:val="es-ES"/>
        </w:rPr>
        <w:t xml:space="preserve">Predicción y </w:t>
      </w:r>
      <w:r w:rsidR="00A060A8">
        <w:rPr>
          <w:lang w:val="es-ES"/>
        </w:rPr>
        <w:t>monitoreo</w:t>
      </w:r>
      <w:r>
        <w:rPr>
          <w:lang w:val="es-ES"/>
        </w:rPr>
        <w:t xml:space="preserve"> del clima a escala regional</w:t>
      </w:r>
    </w:p>
    <w:p w14:paraId="181CD8D3" w14:textId="37798DD4" w:rsidR="003E5D1B" w:rsidRPr="008357EA" w:rsidRDefault="00600EC6">
      <w:pPr>
        <w:numPr>
          <w:ilvl w:val="0"/>
          <w:numId w:val="7"/>
        </w:numPr>
        <w:tabs>
          <w:tab w:val="clear" w:pos="1134"/>
          <w:tab w:val="left" w:pos="960"/>
        </w:tabs>
        <w:spacing w:line="240" w:lineRule="exact"/>
        <w:jc w:val="left"/>
        <w:rPr>
          <w:color w:val="000000" w:themeColor="text1"/>
          <w:szCs w:val="22"/>
          <w:lang w:val="es-419"/>
        </w:rPr>
      </w:pPr>
      <w:r>
        <w:rPr>
          <w:lang w:val="es-ES"/>
        </w:rPr>
        <w:t>Coordinación de la</w:t>
      </w:r>
      <w:r w:rsidR="009420C3">
        <w:rPr>
          <w:lang w:val="es-ES"/>
        </w:rPr>
        <w:t xml:space="preserve"> predicción </w:t>
      </w:r>
      <w:r>
        <w:rPr>
          <w:lang w:val="es-ES"/>
        </w:rPr>
        <w:t>subestacional mediante conjuntos multimodelos</w:t>
      </w:r>
    </w:p>
    <w:p w14:paraId="25B6C4BC" w14:textId="2FE54C98" w:rsidR="003E5D1B" w:rsidRPr="008357EA" w:rsidRDefault="007377E6">
      <w:pPr>
        <w:numPr>
          <w:ilvl w:val="0"/>
          <w:numId w:val="7"/>
        </w:numPr>
        <w:tabs>
          <w:tab w:val="clear" w:pos="1134"/>
          <w:tab w:val="left" w:pos="960"/>
        </w:tabs>
        <w:spacing w:line="240" w:lineRule="exact"/>
        <w:jc w:val="left"/>
        <w:rPr>
          <w:color w:val="000000" w:themeColor="text1"/>
          <w:szCs w:val="22"/>
          <w:lang w:val="es-419"/>
        </w:rPr>
      </w:pPr>
      <w:r>
        <w:rPr>
          <w:lang w:val="es-ES"/>
        </w:rPr>
        <w:t>Coordinación de la predicción a largo plazo</w:t>
      </w:r>
      <w:r w:rsidR="00600EC6">
        <w:rPr>
          <w:lang w:val="es-ES"/>
        </w:rPr>
        <w:t xml:space="preserve"> mediante conjuntos multimodelos</w:t>
      </w:r>
    </w:p>
    <w:p w14:paraId="6FA62EF8" w14:textId="4149344B" w:rsidR="003E5D1B" w:rsidRPr="008357EA" w:rsidRDefault="00600EC6">
      <w:pPr>
        <w:numPr>
          <w:ilvl w:val="0"/>
          <w:numId w:val="7"/>
        </w:numPr>
        <w:tabs>
          <w:tab w:val="clear" w:pos="1134"/>
          <w:tab w:val="left" w:pos="960"/>
        </w:tabs>
        <w:spacing w:line="240" w:lineRule="exact"/>
        <w:jc w:val="left"/>
        <w:rPr>
          <w:color w:val="000000" w:themeColor="text1"/>
          <w:szCs w:val="22"/>
          <w:lang w:val="es-419"/>
        </w:rPr>
      </w:pPr>
      <w:r>
        <w:rPr>
          <w:lang w:val="es-ES"/>
        </w:rPr>
        <w:t>Coordinación de la predicción climática anual a decenal</w:t>
      </w:r>
    </w:p>
    <w:p w14:paraId="5564D5A8" w14:textId="0D8E8E1F" w:rsidR="003E5D1B" w:rsidRPr="008357EA" w:rsidRDefault="00600EC6">
      <w:pPr>
        <w:numPr>
          <w:ilvl w:val="0"/>
          <w:numId w:val="7"/>
        </w:numPr>
        <w:tabs>
          <w:tab w:val="clear" w:pos="1134"/>
          <w:tab w:val="left" w:pos="960"/>
        </w:tabs>
        <w:spacing w:line="240" w:lineRule="exact"/>
        <w:jc w:val="left"/>
        <w:rPr>
          <w:color w:val="000000" w:themeColor="text1"/>
          <w:szCs w:val="22"/>
          <w:lang w:val="es-419"/>
        </w:rPr>
      </w:pPr>
      <w:r>
        <w:rPr>
          <w:lang w:val="es-ES"/>
        </w:rPr>
        <w:t xml:space="preserve">Predicción </w:t>
      </w:r>
      <w:r w:rsidR="00AA467F">
        <w:rPr>
          <w:lang w:val="es-ES"/>
        </w:rPr>
        <w:t>de fenómenos meteorológicos adversos a escala regional</w:t>
      </w:r>
    </w:p>
    <w:p w14:paraId="186567B9" w14:textId="20D04464" w:rsidR="003E5D1B" w:rsidRPr="008357EA" w:rsidRDefault="00600EC6">
      <w:pPr>
        <w:numPr>
          <w:ilvl w:val="0"/>
          <w:numId w:val="7"/>
        </w:numPr>
        <w:tabs>
          <w:tab w:val="clear" w:pos="1134"/>
          <w:tab w:val="left" w:pos="960"/>
        </w:tabs>
        <w:spacing w:line="240" w:lineRule="exact"/>
        <w:jc w:val="left"/>
        <w:rPr>
          <w:color w:val="000000" w:themeColor="text1"/>
          <w:szCs w:val="22"/>
          <w:lang w:val="es-419"/>
        </w:rPr>
      </w:pPr>
      <w:r>
        <w:rPr>
          <w:lang w:val="es-ES"/>
        </w:rPr>
        <w:t>Predicción de ciclones tropicales, incluidos los peligros relacionados con el mar</w:t>
      </w:r>
    </w:p>
    <w:p w14:paraId="0548E7F2" w14:textId="70DC6826" w:rsidR="003E5D1B" w:rsidRPr="008357EA" w:rsidRDefault="00600EC6">
      <w:pPr>
        <w:numPr>
          <w:ilvl w:val="0"/>
          <w:numId w:val="7"/>
        </w:numPr>
        <w:tabs>
          <w:tab w:val="clear" w:pos="1134"/>
          <w:tab w:val="left" w:pos="960"/>
        </w:tabs>
        <w:spacing w:line="240" w:lineRule="exact"/>
        <w:jc w:val="left"/>
        <w:rPr>
          <w:color w:val="000000" w:themeColor="text1"/>
          <w:szCs w:val="22"/>
          <w:lang w:val="es-419"/>
        </w:rPr>
      </w:pPr>
      <w:r>
        <w:rPr>
          <w:lang w:val="es-ES"/>
        </w:rPr>
        <w:t>Respuesta en casos de emergencia medioambiental por accidente nuclear</w:t>
      </w:r>
    </w:p>
    <w:p w14:paraId="58F6EA2E" w14:textId="52946002" w:rsidR="003E5D1B" w:rsidRPr="008357EA" w:rsidRDefault="00600EC6">
      <w:pPr>
        <w:numPr>
          <w:ilvl w:val="0"/>
          <w:numId w:val="7"/>
        </w:numPr>
        <w:tabs>
          <w:tab w:val="clear" w:pos="1134"/>
          <w:tab w:val="left" w:pos="960"/>
        </w:tabs>
        <w:spacing w:line="240" w:lineRule="exact"/>
        <w:jc w:val="left"/>
        <w:rPr>
          <w:color w:val="000000" w:themeColor="text1"/>
          <w:szCs w:val="22"/>
          <w:lang w:val="es-419"/>
        </w:rPr>
      </w:pPr>
      <w:r>
        <w:rPr>
          <w:lang w:val="es-ES"/>
        </w:rPr>
        <w:t>Respuesta en casos de emergencia medioambiental no vinculados con accidentes nucleares</w:t>
      </w:r>
    </w:p>
    <w:p w14:paraId="1382DA8E" w14:textId="2133FD47" w:rsidR="003E5D1B" w:rsidRPr="008357EA" w:rsidRDefault="00600EC6">
      <w:pPr>
        <w:numPr>
          <w:ilvl w:val="0"/>
          <w:numId w:val="7"/>
        </w:numPr>
        <w:tabs>
          <w:tab w:val="clear" w:pos="1134"/>
          <w:tab w:val="left" w:pos="960"/>
        </w:tabs>
        <w:spacing w:line="240" w:lineRule="exact"/>
        <w:jc w:val="left"/>
        <w:rPr>
          <w:color w:val="000000" w:themeColor="text1"/>
          <w:szCs w:val="22"/>
          <w:lang w:val="es-419"/>
        </w:rPr>
      </w:pPr>
      <w:r>
        <w:rPr>
          <w:lang w:val="es-ES"/>
        </w:rPr>
        <w:t>Predicciones de tormentas de arena y polvo atmosféricos</w:t>
      </w:r>
    </w:p>
    <w:p w14:paraId="1E072605" w14:textId="62884A62" w:rsidR="003E5D1B" w:rsidRPr="008357EA" w:rsidRDefault="00600EC6">
      <w:pPr>
        <w:numPr>
          <w:ilvl w:val="0"/>
          <w:numId w:val="7"/>
        </w:numPr>
        <w:tabs>
          <w:tab w:val="clear" w:pos="1134"/>
          <w:tab w:val="left" w:pos="960"/>
        </w:tabs>
        <w:spacing w:line="240" w:lineRule="exact"/>
        <w:jc w:val="left"/>
        <w:rPr>
          <w:color w:val="000000" w:themeColor="text1"/>
          <w:szCs w:val="22"/>
          <w:lang w:val="es-419"/>
        </w:rPr>
      </w:pPr>
      <w:r>
        <w:rPr>
          <w:lang w:val="es-ES"/>
        </w:rPr>
        <w:t>Servicios de vigilancia volcánica para la navegación aérea internacional</w:t>
      </w:r>
    </w:p>
    <w:p w14:paraId="134A5CA5" w14:textId="219A7748" w:rsidR="003E5D1B" w:rsidRDefault="00600EC6">
      <w:pPr>
        <w:numPr>
          <w:ilvl w:val="0"/>
          <w:numId w:val="7"/>
        </w:numPr>
        <w:tabs>
          <w:tab w:val="clear" w:pos="1134"/>
          <w:tab w:val="left" w:pos="960"/>
        </w:tabs>
        <w:spacing w:line="240" w:lineRule="exact"/>
        <w:jc w:val="left"/>
        <w:rPr>
          <w:color w:val="000000" w:themeColor="text1"/>
          <w:szCs w:val="22"/>
        </w:rPr>
      </w:pPr>
      <w:r>
        <w:rPr>
          <w:lang w:val="es-ES"/>
        </w:rPr>
        <w:t>Servicios meteorológicos marinos</w:t>
      </w:r>
    </w:p>
    <w:p w14:paraId="26D0DCB7" w14:textId="3FB6EEAF" w:rsidR="003E5D1B" w:rsidRPr="008357EA" w:rsidRDefault="00600EC6">
      <w:pPr>
        <w:numPr>
          <w:ilvl w:val="0"/>
          <w:numId w:val="7"/>
        </w:numPr>
        <w:tabs>
          <w:tab w:val="clear" w:pos="1134"/>
          <w:tab w:val="left" w:pos="960"/>
        </w:tabs>
        <w:spacing w:line="240" w:lineRule="exact"/>
        <w:jc w:val="left"/>
        <w:rPr>
          <w:color w:val="000000" w:themeColor="text1"/>
          <w:szCs w:val="22"/>
          <w:lang w:val="es-419"/>
        </w:rPr>
      </w:pPr>
      <w:r>
        <w:rPr>
          <w:lang w:val="es-ES"/>
        </w:rPr>
        <w:t xml:space="preserve">Respuesta a emergencias medioambientales marinas </w:t>
      </w:r>
    </w:p>
    <w:p w14:paraId="35B029DB" w14:textId="77777777" w:rsidR="003E5D1B" w:rsidRPr="008357EA" w:rsidRDefault="003E5D1B">
      <w:pPr>
        <w:ind w:left="360" w:hanging="360"/>
        <w:rPr>
          <w:lang w:val="es-419"/>
        </w:rPr>
      </w:pPr>
    </w:p>
    <w:p w14:paraId="42427413" w14:textId="77777777" w:rsidR="003E5D1B" w:rsidRPr="008357EA" w:rsidRDefault="00E26782">
      <w:pPr>
        <w:ind w:left="360" w:hanging="360"/>
        <w:rPr>
          <w:lang w:val="es-419"/>
        </w:rPr>
      </w:pPr>
      <w:r>
        <w:rPr>
          <w:lang w:val="es-ES"/>
        </w:rPr>
        <w:t>Actividades de coordinación en tiempo no real:</w:t>
      </w:r>
    </w:p>
    <w:p w14:paraId="0A6BDB9E" w14:textId="3DDECB4A" w:rsidR="003E5D1B" w:rsidRPr="008357EA" w:rsidRDefault="00600EC6">
      <w:pPr>
        <w:numPr>
          <w:ilvl w:val="0"/>
          <w:numId w:val="7"/>
        </w:numPr>
        <w:tabs>
          <w:tab w:val="clear" w:pos="1134"/>
          <w:tab w:val="left" w:pos="960"/>
        </w:tabs>
        <w:spacing w:line="240" w:lineRule="exact"/>
        <w:jc w:val="left"/>
        <w:rPr>
          <w:color w:val="000000" w:themeColor="text1"/>
          <w:szCs w:val="22"/>
          <w:lang w:val="es-419"/>
        </w:rPr>
      </w:pPr>
      <w:r>
        <w:rPr>
          <w:lang w:val="es-ES"/>
        </w:rPr>
        <w:t>Coordinación de la verificación de la predicción numérica del tiempo determinística</w:t>
      </w:r>
    </w:p>
    <w:p w14:paraId="66D4E049" w14:textId="2729B053" w:rsidR="003E5D1B" w:rsidRPr="008357EA" w:rsidRDefault="00600EC6">
      <w:pPr>
        <w:numPr>
          <w:ilvl w:val="0"/>
          <w:numId w:val="7"/>
        </w:numPr>
        <w:tabs>
          <w:tab w:val="clear" w:pos="1134"/>
          <w:tab w:val="left" w:pos="960"/>
        </w:tabs>
        <w:spacing w:line="240" w:lineRule="exact"/>
        <w:jc w:val="left"/>
        <w:rPr>
          <w:color w:val="000000" w:themeColor="text1"/>
          <w:szCs w:val="22"/>
          <w:lang w:val="es-419"/>
        </w:rPr>
      </w:pPr>
      <w:r>
        <w:rPr>
          <w:lang w:val="es-ES"/>
        </w:rPr>
        <w:t>Coordinación de la verificación del sistema de predicción por conjuntos</w:t>
      </w:r>
    </w:p>
    <w:p w14:paraId="0FAD50F3" w14:textId="055E1CD9" w:rsidR="003E5D1B" w:rsidRPr="008357EA" w:rsidRDefault="00600EC6">
      <w:pPr>
        <w:numPr>
          <w:ilvl w:val="0"/>
          <w:numId w:val="7"/>
        </w:numPr>
        <w:tabs>
          <w:tab w:val="clear" w:pos="1134"/>
          <w:tab w:val="left" w:pos="960"/>
        </w:tabs>
        <w:spacing w:line="240" w:lineRule="exact"/>
        <w:jc w:val="left"/>
        <w:rPr>
          <w:color w:val="000000" w:themeColor="text1"/>
          <w:szCs w:val="22"/>
          <w:lang w:val="es-419"/>
        </w:rPr>
      </w:pPr>
      <w:r>
        <w:rPr>
          <w:lang w:val="es-ES"/>
        </w:rPr>
        <w:t>Coordinación de la verificación de la predicción de las olas</w:t>
      </w:r>
    </w:p>
    <w:p w14:paraId="07073A7F" w14:textId="06856942" w:rsidR="003E5D1B" w:rsidRPr="008357EA" w:rsidRDefault="00600EC6">
      <w:pPr>
        <w:numPr>
          <w:ilvl w:val="0"/>
          <w:numId w:val="7"/>
        </w:numPr>
        <w:tabs>
          <w:tab w:val="clear" w:pos="1134"/>
          <w:tab w:val="left" w:pos="960"/>
        </w:tabs>
        <w:spacing w:line="240" w:lineRule="exact"/>
        <w:jc w:val="left"/>
        <w:rPr>
          <w:color w:val="000000" w:themeColor="text1"/>
          <w:szCs w:val="22"/>
          <w:lang w:val="es-419"/>
        </w:rPr>
      </w:pPr>
      <w:r>
        <w:rPr>
          <w:lang w:val="es-ES"/>
        </w:rPr>
        <w:t>Coordinación de la verificación de la predicción de ciclones tropicales</w:t>
      </w:r>
    </w:p>
    <w:p w14:paraId="3B5BC0CD" w14:textId="67EF9686" w:rsidR="003E5D1B" w:rsidRPr="008357EA" w:rsidRDefault="00600EC6">
      <w:pPr>
        <w:numPr>
          <w:ilvl w:val="0"/>
          <w:numId w:val="7"/>
        </w:numPr>
        <w:tabs>
          <w:tab w:val="clear" w:pos="1134"/>
          <w:tab w:val="left" w:pos="960"/>
        </w:tabs>
        <w:spacing w:line="240" w:lineRule="exact"/>
        <w:jc w:val="left"/>
        <w:rPr>
          <w:color w:val="000000" w:themeColor="text1"/>
          <w:szCs w:val="22"/>
          <w:lang w:val="es-419"/>
        </w:rPr>
      </w:pPr>
      <w:r>
        <w:rPr>
          <w:lang w:val="es-ES"/>
        </w:rPr>
        <w:t>Coordinación del control de las observaciones</w:t>
      </w:r>
    </w:p>
    <w:p w14:paraId="4A0047D2" w14:textId="4AFB2399" w:rsidR="003E5D1B" w:rsidRPr="008357EA" w:rsidRDefault="00E26782">
      <w:pPr>
        <w:keepNext/>
        <w:spacing w:before="240" w:after="240" w:line="240" w:lineRule="exact"/>
        <w:ind w:left="1123" w:hanging="1123"/>
        <w:jc w:val="left"/>
        <w:outlineLvl w:val="4"/>
        <w:rPr>
          <w:b/>
          <w:bCs/>
          <w:color w:val="000000" w:themeColor="text1"/>
          <w:lang w:val="es-419"/>
        </w:rPr>
      </w:pPr>
      <w:bookmarkStart w:id="41" w:name="_Toc113003290"/>
      <w:bookmarkStart w:id="42" w:name="_Toc113024415"/>
      <w:bookmarkStart w:id="43" w:name="_Toc117501947"/>
      <w:r>
        <w:rPr>
          <w:b/>
          <w:bCs/>
          <w:lang w:val="es-ES"/>
        </w:rPr>
        <w:t>1.3.3</w:t>
      </w:r>
      <w:r>
        <w:rPr>
          <w:lang w:val="es-ES"/>
        </w:rPr>
        <w:tab/>
      </w:r>
      <w:r>
        <w:rPr>
          <w:lang w:val="es-ES"/>
        </w:rPr>
        <w:tab/>
      </w:r>
      <w:r>
        <w:rPr>
          <w:b/>
          <w:bCs/>
          <w:lang w:val="es-ES"/>
        </w:rPr>
        <w:t>Centros del Sistema Mundial de Proceso de Datos y de Predicción</w:t>
      </w:r>
      <w:bookmarkEnd w:id="41"/>
      <w:bookmarkEnd w:id="42"/>
      <w:bookmarkEnd w:id="43"/>
    </w:p>
    <w:p w14:paraId="07D02AD8" w14:textId="3890FCAD" w:rsidR="003E5D1B" w:rsidRPr="008357EA" w:rsidRDefault="00E26782">
      <w:pPr>
        <w:spacing w:after="240" w:line="240" w:lineRule="exact"/>
        <w:rPr>
          <w:rFonts w:eastAsiaTheme="minorEastAsia" w:cstheme="majorBidi"/>
          <w:color w:val="000000" w:themeColor="text1"/>
          <w:lang w:val="es-419"/>
        </w:rPr>
      </w:pPr>
      <w:r>
        <w:rPr>
          <w:lang w:val="es-ES"/>
        </w:rPr>
        <w:t xml:space="preserve">El GDPFS está organizado en tres niveles, a saber: los Centros Meteorológicos Mundiales (CMM), los Centros Meteorológicos Regionales Especializados (CMRE) y los Centros Meteorológicos Nacionales (CMN), que llevan a cabo las actividades del GDPFS de forma sostenible </w:t>
      </w:r>
      <w:r w:rsidR="006C3672">
        <w:rPr>
          <w:lang w:val="es-ES"/>
        </w:rPr>
        <w:t>a escala</w:t>
      </w:r>
      <w:r>
        <w:rPr>
          <w:lang w:val="es-ES"/>
        </w:rPr>
        <w:t xml:space="preserve"> mundial, regional y nacional, respectivamente (véase el diagrama que figura a continuación). Esos centros se denominan centros del GDPFS. En concreto, los CMM y los CMRE se denominan centros del GDPFS designados.</w:t>
      </w:r>
    </w:p>
    <w:p w14:paraId="580854FE" w14:textId="77777777" w:rsidR="003E5D1B" w:rsidRDefault="00E26782">
      <w:pPr>
        <w:spacing w:after="240" w:line="240" w:lineRule="atLeast"/>
        <w:rPr>
          <w:rFonts w:eastAsia="SimSun" w:cs="Times New Roman"/>
          <w:color w:val="000000" w:themeColor="text1"/>
          <w:lang w:eastAsia="zh-TW"/>
        </w:rPr>
      </w:pPr>
      <w:r>
        <w:rPr>
          <w:rFonts w:eastAsia="SimSun" w:cs="Times New Roman"/>
          <w:noProof/>
          <w:color w:val="000000" w:themeColor="text1"/>
          <w:lang w:eastAsia="zh-TW"/>
        </w:rPr>
        <w:lastRenderedPageBreak/>
        <w:drawing>
          <wp:inline distT="0" distB="0" distL="0" distR="0" wp14:anchorId="269DD473" wp14:editId="0FEBFA99">
            <wp:extent cx="5731510" cy="4501515"/>
            <wp:effectExtent l="0" t="0" r="0" b="0"/>
            <wp:docPr id="5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4501515"/>
                    </a:xfrm>
                    <a:prstGeom prst="rect">
                      <a:avLst/>
                    </a:prstGeom>
                  </pic:spPr>
                </pic:pic>
              </a:graphicData>
            </a:graphic>
          </wp:inline>
        </w:drawing>
      </w:r>
    </w:p>
    <w:p w14:paraId="52B17AC6" w14:textId="12A4F171" w:rsidR="003E5D1B" w:rsidRPr="008357EA" w:rsidRDefault="00E26782">
      <w:pPr>
        <w:spacing w:after="240" w:line="240" w:lineRule="exact"/>
        <w:rPr>
          <w:rFonts w:eastAsia="SimSun" w:cs="Times New Roman"/>
          <w:color w:val="000000" w:themeColor="text1"/>
          <w:lang w:val="es-419"/>
        </w:rPr>
      </w:pPr>
      <w:r>
        <w:rPr>
          <w:lang w:val="es-ES"/>
        </w:rPr>
        <w:t>Las actividades en tiempo real son aquellas en que los CMM y los CMRE que llevan a cabo actividades de carácter general (incluidos los que se conocen con el nombre de Centro Mundial de Producción) suministran datos y productos tanto a los CMRE que lleva</w:t>
      </w:r>
      <w:r w:rsidR="000009C0">
        <w:rPr>
          <w:lang w:val="es-ES"/>
        </w:rPr>
        <w:t>n</w:t>
      </w:r>
      <w:r>
        <w:rPr>
          <w:lang w:val="es-ES"/>
        </w:rPr>
        <w:t xml:space="preserve"> a cabo actividades especializadas (incluidos los que se conocen con el nombre de Centro Regional sobre el Clima) como a los CMN (en verde en el diagrama)</w:t>
      </w:r>
      <w:r w:rsidR="000009C0">
        <w:rPr>
          <w:lang w:val="es-ES"/>
        </w:rPr>
        <w:t>. A</w:t>
      </w:r>
      <w:r>
        <w:rPr>
          <w:lang w:val="es-ES"/>
        </w:rPr>
        <w:t xml:space="preserve"> continuación, los datos y productos elaborados por los CMN dentro de los SMHN (en azul en el diagrama) se suministran al público en general y a los sectores usuarios (en amarillo en el diagrama). </w:t>
      </w:r>
    </w:p>
    <w:p w14:paraId="7DBFEA59" w14:textId="5C45A897" w:rsidR="003E5D1B" w:rsidRPr="008357EA" w:rsidRDefault="00E26782">
      <w:pPr>
        <w:spacing w:after="240" w:line="240" w:lineRule="exact"/>
        <w:rPr>
          <w:rFonts w:eastAsia="SimSun" w:cs="Times New Roman"/>
          <w:color w:val="000000" w:themeColor="text1"/>
          <w:lang w:val="es-419"/>
        </w:rPr>
      </w:pPr>
      <w:r>
        <w:rPr>
          <w:lang w:val="es-ES"/>
        </w:rPr>
        <w:t>Como parte de las actividades en tiempo no real, los CMM y los CMRE que lleva</w:t>
      </w:r>
      <w:r w:rsidR="000009C0">
        <w:rPr>
          <w:lang w:val="es-ES"/>
        </w:rPr>
        <w:t>n</w:t>
      </w:r>
      <w:r>
        <w:rPr>
          <w:lang w:val="es-ES"/>
        </w:rPr>
        <w:t xml:space="preserve"> a cabo actividades de carácter general proporcionan sus productos en tiempo no real (como los resultados de las verificaciones) a los CMRE que llevan a cabo actividades en tiempo no real, y estos consolidan y ponen todos los productos en tiempo no real a disposición de los CMN (en naranja en el diagrama). Existe un mecanismo para que los </w:t>
      </w:r>
      <w:r w:rsidR="006753E1">
        <w:rPr>
          <w:lang w:val="es-ES"/>
        </w:rPr>
        <w:t xml:space="preserve">CMN </w:t>
      </w:r>
      <w:r>
        <w:rPr>
          <w:lang w:val="es-ES"/>
        </w:rPr>
        <w:t xml:space="preserve">(en celeste en el diagrama) suministren retroinformación sobre la utilidad y exactitud de los productos de los </w:t>
      </w:r>
      <w:r w:rsidR="00A95DEF">
        <w:rPr>
          <w:lang w:val="es-ES"/>
        </w:rPr>
        <w:t>CMM</w:t>
      </w:r>
      <w:r>
        <w:rPr>
          <w:lang w:val="es-ES"/>
        </w:rPr>
        <w:t xml:space="preserve"> y </w:t>
      </w:r>
      <w:r w:rsidR="00A95DEF">
        <w:rPr>
          <w:lang w:val="es-ES"/>
        </w:rPr>
        <w:t>CMRE</w:t>
      </w:r>
      <w:r>
        <w:rPr>
          <w:lang w:val="es-ES"/>
        </w:rPr>
        <w:t xml:space="preserve">, y para que los </w:t>
      </w:r>
      <w:r w:rsidR="00A95DEF">
        <w:rPr>
          <w:lang w:val="es-ES"/>
        </w:rPr>
        <w:t>CMRE</w:t>
      </w:r>
      <w:r>
        <w:rPr>
          <w:lang w:val="es-ES"/>
        </w:rPr>
        <w:t xml:space="preserve"> que llevan a cabo actividades especializadas </w:t>
      </w:r>
      <w:r w:rsidR="000009C0">
        <w:rPr>
          <w:lang w:val="es-ES"/>
        </w:rPr>
        <w:t>proporcionen</w:t>
      </w:r>
      <w:r>
        <w:rPr>
          <w:lang w:val="es-ES"/>
        </w:rPr>
        <w:t xml:space="preserve"> retroinformación a los </w:t>
      </w:r>
      <w:r w:rsidR="00A95DEF">
        <w:rPr>
          <w:lang w:val="es-ES"/>
        </w:rPr>
        <w:t>CMM</w:t>
      </w:r>
      <w:r>
        <w:rPr>
          <w:lang w:val="es-ES"/>
        </w:rPr>
        <w:t xml:space="preserve"> y </w:t>
      </w:r>
      <w:r w:rsidR="00A95DEF">
        <w:rPr>
          <w:lang w:val="es-ES"/>
        </w:rPr>
        <w:t>CMRE</w:t>
      </w:r>
      <w:r>
        <w:rPr>
          <w:lang w:val="es-ES"/>
        </w:rPr>
        <w:t xml:space="preserve"> que llevan a cabo a actividades de carácter general (en verde claro en el diagrama).</w:t>
      </w:r>
    </w:p>
    <w:p w14:paraId="468E522A" w14:textId="363BCCCD" w:rsidR="003E5D1B" w:rsidRPr="008357EA" w:rsidRDefault="00E26782">
      <w:pPr>
        <w:spacing w:after="240" w:line="240" w:lineRule="exact"/>
        <w:rPr>
          <w:rFonts w:eastAsia="SimSun" w:cs="Times New Roman"/>
          <w:color w:val="000000" w:themeColor="text1"/>
          <w:lang w:val="es-419"/>
        </w:rPr>
      </w:pPr>
      <w:r>
        <w:rPr>
          <w:lang w:val="es-ES"/>
        </w:rPr>
        <w:t xml:space="preserve">Los </w:t>
      </w:r>
      <w:r w:rsidR="000009C0">
        <w:rPr>
          <w:lang w:val="es-ES"/>
        </w:rPr>
        <w:t>Centros Principales</w:t>
      </w:r>
      <w:r>
        <w:rPr>
          <w:lang w:val="es-ES"/>
        </w:rPr>
        <w:t xml:space="preserve"> de coordinación llevan a cabo actividades en tiempo real y en tiempo no real (en naranja claro en el diagrama). </w:t>
      </w:r>
    </w:p>
    <w:p w14:paraId="5CF2FC95" w14:textId="69A623EE" w:rsidR="003E5D1B" w:rsidRPr="008357EA" w:rsidRDefault="00E26782">
      <w:pPr>
        <w:keepNext/>
        <w:spacing w:before="240" w:after="240" w:line="240" w:lineRule="exact"/>
        <w:ind w:left="1123" w:hanging="1123"/>
        <w:outlineLvl w:val="5"/>
        <w:rPr>
          <w:rFonts w:eastAsiaTheme="minorEastAsia" w:cstheme="majorBidi"/>
          <w:b/>
          <w:bCs/>
          <w:i/>
          <w:iCs/>
          <w:color w:val="000000" w:themeColor="text1"/>
          <w:lang w:val="es-419"/>
        </w:rPr>
      </w:pPr>
      <w:bookmarkStart w:id="44" w:name="_Toc113003291"/>
      <w:bookmarkStart w:id="45" w:name="_Toc113024416"/>
      <w:bookmarkStart w:id="46" w:name="_Toc117501948"/>
      <w:r>
        <w:rPr>
          <w:b/>
          <w:bCs/>
          <w:i/>
          <w:iCs/>
          <w:lang w:val="es-ES"/>
        </w:rPr>
        <w:t>1.3.3.1</w:t>
      </w:r>
      <w:r>
        <w:rPr>
          <w:lang w:val="es-ES"/>
        </w:rPr>
        <w:tab/>
      </w:r>
      <w:r>
        <w:rPr>
          <w:b/>
          <w:bCs/>
          <w:i/>
          <w:iCs/>
          <w:lang w:val="es-ES"/>
        </w:rPr>
        <w:t>Centros meteorológicos mundiales</w:t>
      </w:r>
      <w:bookmarkEnd w:id="44"/>
      <w:bookmarkEnd w:id="45"/>
      <w:bookmarkEnd w:id="46"/>
    </w:p>
    <w:p w14:paraId="70D0CC79" w14:textId="3DC9CF90" w:rsidR="003E5D1B" w:rsidRPr="008357EA" w:rsidRDefault="00E26782">
      <w:pPr>
        <w:spacing w:after="240" w:line="240" w:lineRule="exact"/>
        <w:rPr>
          <w:rFonts w:eastAsiaTheme="minorEastAsia" w:cstheme="majorBidi"/>
          <w:color w:val="000000" w:themeColor="text1"/>
          <w:lang w:val="es-419"/>
        </w:rPr>
      </w:pPr>
      <w:r>
        <w:rPr>
          <w:lang w:val="es-ES"/>
        </w:rPr>
        <w:t xml:space="preserve">Un Centro Meteorológico Mundial (CMM) lleva a cabo al menos las siguientes actividades según las normas establecidas que se describen en la parte II del </w:t>
      </w:r>
      <w:r w:rsidR="00AA4882" w:rsidRPr="00AA4882">
        <w:rPr>
          <w:i/>
          <w:iCs/>
          <w:lang w:val="es-ES"/>
        </w:rPr>
        <w:t>Manual del GDPFS</w:t>
      </w:r>
      <w:r>
        <w:rPr>
          <w:lang w:val="es-ES"/>
        </w:rPr>
        <w:t>:</w:t>
      </w:r>
    </w:p>
    <w:p w14:paraId="154130D3" w14:textId="77777777" w:rsidR="003E5D1B" w:rsidRPr="008357EA" w:rsidRDefault="00E26782">
      <w:pPr>
        <w:numPr>
          <w:ilvl w:val="0"/>
          <w:numId w:val="24"/>
        </w:numPr>
        <w:tabs>
          <w:tab w:val="clear" w:pos="1134"/>
          <w:tab w:val="left" w:pos="480"/>
        </w:tabs>
        <w:spacing w:after="240" w:line="240" w:lineRule="exact"/>
        <w:jc w:val="left"/>
        <w:rPr>
          <w:color w:val="000000" w:themeColor="text1"/>
          <w:szCs w:val="22"/>
          <w:lang w:val="es-419"/>
        </w:rPr>
      </w:pPr>
      <w:r>
        <w:rPr>
          <w:lang w:val="es-ES"/>
        </w:rPr>
        <w:t>Predicción numérica del tiempo determinística a escala mundial</w:t>
      </w:r>
    </w:p>
    <w:p w14:paraId="00FAD3AA" w14:textId="77777777" w:rsidR="003E5D1B" w:rsidRPr="008357EA" w:rsidRDefault="00E26782">
      <w:pPr>
        <w:numPr>
          <w:ilvl w:val="0"/>
          <w:numId w:val="24"/>
        </w:numPr>
        <w:tabs>
          <w:tab w:val="clear" w:pos="1134"/>
          <w:tab w:val="left" w:pos="480"/>
        </w:tabs>
        <w:spacing w:after="240" w:line="240" w:lineRule="exact"/>
        <w:jc w:val="left"/>
        <w:rPr>
          <w:color w:val="000000" w:themeColor="text1"/>
          <w:szCs w:val="22"/>
          <w:lang w:val="es-419"/>
        </w:rPr>
      </w:pPr>
      <w:r>
        <w:rPr>
          <w:lang w:val="es-ES"/>
        </w:rPr>
        <w:lastRenderedPageBreak/>
        <w:t xml:space="preserve">Predicción numérica del tiempo por conjuntos a escala mundial </w:t>
      </w:r>
    </w:p>
    <w:p w14:paraId="3196DF66" w14:textId="77777777" w:rsidR="003E5D1B" w:rsidRPr="008357EA" w:rsidRDefault="00E26782">
      <w:pPr>
        <w:numPr>
          <w:ilvl w:val="0"/>
          <w:numId w:val="24"/>
        </w:numPr>
        <w:tabs>
          <w:tab w:val="clear" w:pos="1134"/>
          <w:tab w:val="left" w:pos="480"/>
        </w:tabs>
        <w:spacing w:after="240" w:line="240" w:lineRule="exact"/>
        <w:jc w:val="left"/>
        <w:rPr>
          <w:color w:val="000000" w:themeColor="text1"/>
          <w:szCs w:val="22"/>
          <w:lang w:val="es-419"/>
        </w:rPr>
      </w:pPr>
      <w:r>
        <w:rPr>
          <w:lang w:val="es-ES"/>
        </w:rPr>
        <w:t>Predicción numérica a largo plazo a escala mundial</w:t>
      </w:r>
    </w:p>
    <w:p w14:paraId="04052034" w14:textId="3BB9DFA5" w:rsidR="003E5D1B" w:rsidRPr="008357EA" w:rsidRDefault="00E26782">
      <w:pPr>
        <w:spacing w:after="240" w:line="240" w:lineRule="exact"/>
        <w:rPr>
          <w:rFonts w:eastAsiaTheme="minorEastAsia" w:cstheme="majorBidi"/>
          <w:color w:val="000000" w:themeColor="text1"/>
          <w:lang w:val="es-419"/>
        </w:rPr>
      </w:pPr>
      <w:r>
        <w:rPr>
          <w:lang w:val="es-ES"/>
        </w:rPr>
        <w:t>Se espera que los productos de esas tres actividades se creen sin discontinuidades y de forma coherente como parte de la predicción del sistema Tierra.</w:t>
      </w:r>
    </w:p>
    <w:p w14:paraId="53B12931" w14:textId="572F566F" w:rsidR="003E5D1B" w:rsidRPr="008357EA" w:rsidRDefault="00E26782">
      <w:pPr>
        <w:spacing w:after="240" w:line="240" w:lineRule="exact"/>
        <w:rPr>
          <w:rFonts w:eastAsiaTheme="minorEastAsia" w:cstheme="majorBidi"/>
          <w:color w:val="000000" w:themeColor="text1"/>
          <w:lang w:val="es-419"/>
        </w:rPr>
      </w:pPr>
      <w:r>
        <w:rPr>
          <w:lang w:val="es-ES"/>
        </w:rPr>
        <w:t xml:space="preserve">Los </w:t>
      </w:r>
      <w:r w:rsidR="00A95DEF">
        <w:rPr>
          <w:lang w:val="es-ES"/>
        </w:rPr>
        <w:t>CMM</w:t>
      </w:r>
      <w:r>
        <w:rPr>
          <w:lang w:val="es-ES"/>
        </w:rPr>
        <w:t xml:space="preserve"> utilizan sistemas de supercomputación, redes de comunicación de alta velocidad, amplias instalaciones de almacenamiento de datos y grandes sistemas informáticos frontales </w:t>
      </w:r>
      <w:r w:rsidR="007F05E4">
        <w:rPr>
          <w:lang w:val="es-ES"/>
        </w:rPr>
        <w:t>para</w:t>
      </w:r>
      <w:r>
        <w:rPr>
          <w:lang w:val="es-ES"/>
        </w:rPr>
        <w:t xml:space="preserve"> </w:t>
      </w:r>
      <w:r w:rsidR="00940C41">
        <w:rPr>
          <w:lang w:val="es-ES"/>
        </w:rPr>
        <w:t xml:space="preserve">llevar a cabo el </w:t>
      </w:r>
      <w:r w:rsidR="00B645A6">
        <w:rPr>
          <w:lang w:val="es-ES"/>
        </w:rPr>
        <w:t>proceso</w:t>
      </w:r>
      <w:r w:rsidR="00940C41">
        <w:rPr>
          <w:lang w:val="es-ES"/>
        </w:rPr>
        <w:t xml:space="preserve"> previo y posterior de</w:t>
      </w:r>
      <w:r>
        <w:rPr>
          <w:lang w:val="es-ES"/>
        </w:rPr>
        <w:t xml:space="preserve"> las predicciones y la asimilación de datos basadas en modelos. Una característica importante de esos centros es que invierten continuamente en investigación y colaboración con la comunidad científica en general para mejorar sus capacidades de asimilación de datos y predicción del sistema Tierra, además de actualizar</w:t>
      </w:r>
      <w:r w:rsidR="00B71C82">
        <w:rPr>
          <w:lang w:val="es-ES"/>
        </w:rPr>
        <w:t xml:space="preserve"> de forma</w:t>
      </w:r>
      <w:r>
        <w:rPr>
          <w:lang w:val="es-ES"/>
        </w:rPr>
        <w:t xml:space="preserve"> constante su infraestructura informática y de comunicaciones para que siga siendo de vanguardia. </w:t>
      </w:r>
    </w:p>
    <w:p w14:paraId="4E862B22" w14:textId="198F18B3" w:rsidR="003E5D1B" w:rsidRPr="008357EA" w:rsidRDefault="00E26782">
      <w:pPr>
        <w:spacing w:after="240" w:line="240" w:lineRule="exact"/>
        <w:rPr>
          <w:rFonts w:eastAsiaTheme="minorEastAsia" w:cstheme="majorBidi"/>
          <w:color w:val="000000" w:themeColor="text1"/>
          <w:lang w:val="es-419"/>
        </w:rPr>
      </w:pPr>
      <w:r>
        <w:rPr>
          <w:lang w:val="es-ES"/>
        </w:rPr>
        <w:t xml:space="preserve">Se anima a los </w:t>
      </w:r>
      <w:r w:rsidR="00A95DEF">
        <w:rPr>
          <w:lang w:val="es-ES"/>
        </w:rPr>
        <w:t>CMM</w:t>
      </w:r>
      <w:r>
        <w:rPr>
          <w:lang w:val="es-ES"/>
        </w:rPr>
        <w:t xml:space="preserve"> a poner a disposición de los </w:t>
      </w:r>
      <w:r w:rsidR="00A95DEF">
        <w:rPr>
          <w:lang w:val="es-ES"/>
        </w:rPr>
        <w:t>CMRE</w:t>
      </w:r>
      <w:r>
        <w:rPr>
          <w:lang w:val="es-ES"/>
        </w:rPr>
        <w:t xml:space="preserve"> y los </w:t>
      </w:r>
      <w:r w:rsidR="006753E1">
        <w:rPr>
          <w:lang w:val="es-ES"/>
        </w:rPr>
        <w:t>CMN</w:t>
      </w:r>
      <w:r>
        <w:rPr>
          <w:lang w:val="es-ES"/>
        </w:rPr>
        <w:t xml:space="preserve"> los datos de las condiciones iniciales y de contorno de sus sistemas de modelos para que los utilicen al hacer predicciones numéricas del tiempo por conjuntos y determinísticas de área limitada.</w:t>
      </w:r>
    </w:p>
    <w:p w14:paraId="0C318FEC" w14:textId="6BDCEEFC" w:rsidR="003E5D1B" w:rsidRPr="007F05E4" w:rsidRDefault="00E26782">
      <w:pPr>
        <w:spacing w:after="240"/>
        <w:rPr>
          <w:rFonts w:eastAsiaTheme="minorEastAsia" w:cstheme="majorBidi"/>
          <w:color w:val="000000" w:themeColor="text1"/>
          <w:sz w:val="16"/>
          <w:szCs w:val="16"/>
          <w:lang w:val="es-419"/>
        </w:rPr>
      </w:pPr>
      <w:r w:rsidRPr="007F05E4">
        <w:rPr>
          <w:sz w:val="16"/>
          <w:szCs w:val="16"/>
          <w:lang w:val="es-ES"/>
        </w:rPr>
        <w:t xml:space="preserve">Nota: Se están examinando las prácticas actuales para </w:t>
      </w:r>
      <w:r w:rsidR="007F05E4">
        <w:rPr>
          <w:sz w:val="16"/>
          <w:szCs w:val="16"/>
          <w:lang w:val="es-ES"/>
        </w:rPr>
        <w:t>que</w:t>
      </w:r>
      <w:r w:rsidRPr="007F05E4">
        <w:rPr>
          <w:sz w:val="16"/>
          <w:szCs w:val="16"/>
          <w:lang w:val="es-ES"/>
        </w:rPr>
        <w:t xml:space="preserve"> dentro del GDPFS </w:t>
      </w:r>
      <w:r w:rsidR="007F05E4">
        <w:rPr>
          <w:sz w:val="16"/>
          <w:szCs w:val="16"/>
          <w:lang w:val="es-ES"/>
        </w:rPr>
        <w:t xml:space="preserve">se diseñe </w:t>
      </w:r>
      <w:r w:rsidRPr="007F05E4">
        <w:rPr>
          <w:sz w:val="16"/>
          <w:szCs w:val="16"/>
          <w:lang w:val="es-ES"/>
        </w:rPr>
        <w:t>un mecanismo eficaz que permita poner las condiciones iniciales y de contorno a disposición de todos los Miembros de la OMM para que las usen al hacer predicciones numéricas del tiempo de área limitada.</w:t>
      </w:r>
    </w:p>
    <w:p w14:paraId="646AF8AB" w14:textId="4DC8EA1D" w:rsidR="003E5D1B" w:rsidRPr="008357EA" w:rsidRDefault="00E26782">
      <w:pPr>
        <w:keepNext/>
        <w:spacing w:before="240" w:after="240" w:line="240" w:lineRule="exact"/>
        <w:ind w:left="1123" w:hanging="1123"/>
        <w:outlineLvl w:val="5"/>
        <w:rPr>
          <w:rFonts w:eastAsiaTheme="minorEastAsia" w:cstheme="majorBidi"/>
          <w:b/>
          <w:bCs/>
          <w:i/>
          <w:iCs/>
          <w:color w:val="000000" w:themeColor="text1"/>
          <w:lang w:val="es-419"/>
        </w:rPr>
      </w:pPr>
      <w:bookmarkStart w:id="47" w:name="_Toc113003292"/>
      <w:bookmarkStart w:id="48" w:name="_Toc113024417"/>
      <w:bookmarkStart w:id="49" w:name="_Toc117501949"/>
      <w:r>
        <w:rPr>
          <w:b/>
          <w:bCs/>
          <w:i/>
          <w:iCs/>
          <w:lang w:val="es-ES"/>
        </w:rPr>
        <w:t>1.3.3.2</w:t>
      </w:r>
      <w:r>
        <w:rPr>
          <w:lang w:val="es-ES"/>
        </w:rPr>
        <w:tab/>
      </w:r>
      <w:r>
        <w:rPr>
          <w:b/>
          <w:bCs/>
          <w:i/>
          <w:iCs/>
          <w:lang w:val="es-ES"/>
        </w:rPr>
        <w:t>Centros Meteorológicos Regionales Especializados</w:t>
      </w:r>
      <w:bookmarkEnd w:id="47"/>
      <w:bookmarkEnd w:id="48"/>
      <w:bookmarkEnd w:id="49"/>
    </w:p>
    <w:p w14:paraId="76D2B134" w14:textId="78B5D472" w:rsidR="003E5D1B" w:rsidRPr="008357EA" w:rsidRDefault="00E26782">
      <w:pPr>
        <w:spacing w:after="240" w:line="240" w:lineRule="exact"/>
        <w:rPr>
          <w:rFonts w:eastAsiaTheme="minorEastAsia" w:cstheme="majorBidi"/>
          <w:color w:val="000000" w:themeColor="text1"/>
          <w:lang w:val="es-419"/>
        </w:rPr>
      </w:pPr>
      <w:r>
        <w:rPr>
          <w:lang w:val="es-ES"/>
        </w:rPr>
        <w:t xml:space="preserve">Un Centro Meteorológico Regional Especializado (CMRE) es una referencia </w:t>
      </w:r>
      <w:r w:rsidR="00A9364B">
        <w:rPr>
          <w:lang w:val="es-ES"/>
        </w:rPr>
        <w:t>general</w:t>
      </w:r>
      <w:r>
        <w:rPr>
          <w:lang w:val="es-ES"/>
        </w:rPr>
        <w:t xml:space="preserve"> para los centros </w:t>
      </w:r>
      <w:r w:rsidR="00A9364B">
        <w:rPr>
          <w:lang w:val="es-ES"/>
        </w:rPr>
        <w:t>designados</w:t>
      </w:r>
      <w:r>
        <w:rPr>
          <w:lang w:val="es-ES"/>
        </w:rPr>
        <w:t xml:space="preserve"> para llevar a cabo de forma operativa una de las actividades del GDPFS </w:t>
      </w:r>
      <w:r w:rsidR="00A9364B">
        <w:rPr>
          <w:lang w:val="es-ES"/>
        </w:rPr>
        <w:t>que se enumeran</w:t>
      </w:r>
      <w:r>
        <w:rPr>
          <w:lang w:val="es-ES"/>
        </w:rPr>
        <w:t xml:space="preserve"> en la sección 1.3.2. Un CMRE que </w:t>
      </w:r>
      <w:r w:rsidR="001A40F4">
        <w:rPr>
          <w:lang w:val="es-ES"/>
        </w:rPr>
        <w:t>lleva a cabo una</w:t>
      </w:r>
      <w:r>
        <w:rPr>
          <w:lang w:val="es-ES"/>
        </w:rPr>
        <w:t xml:space="preserve"> actividad especializada es un centro cuyo objetivo principal es proporcionar información y productos elaborados a medida para atender a los usuarios de una esfera de actividad determinada. Un </w:t>
      </w:r>
      <w:r w:rsidR="00A95DEF">
        <w:rPr>
          <w:lang w:val="es-ES"/>
        </w:rPr>
        <w:t>CMRE</w:t>
      </w:r>
      <w:r>
        <w:rPr>
          <w:lang w:val="es-ES"/>
        </w:rPr>
        <w:t xml:space="preserve"> que lleva a cabo actividades de carácter general es un centro que respalda múltiples esferas de aplicación y servicio. </w:t>
      </w:r>
    </w:p>
    <w:p w14:paraId="0BE5061D" w14:textId="2E42363B" w:rsidR="003E5D1B" w:rsidRPr="008357EA" w:rsidRDefault="00E26782">
      <w:pPr>
        <w:spacing w:after="240" w:line="240" w:lineRule="exact"/>
        <w:rPr>
          <w:rFonts w:eastAsiaTheme="minorEastAsia" w:cstheme="majorBidi"/>
          <w:color w:val="000000" w:themeColor="text1"/>
          <w:lang w:val="es-419"/>
        </w:rPr>
      </w:pPr>
      <w:r>
        <w:rPr>
          <w:lang w:val="es-ES"/>
        </w:rPr>
        <w:t xml:space="preserve">Al igual que los </w:t>
      </w:r>
      <w:r w:rsidR="00A95DEF">
        <w:rPr>
          <w:lang w:val="es-ES"/>
        </w:rPr>
        <w:t>CMM</w:t>
      </w:r>
      <w:r>
        <w:rPr>
          <w:lang w:val="es-ES"/>
        </w:rPr>
        <w:t xml:space="preserve">, los </w:t>
      </w:r>
      <w:r w:rsidR="00A95DEF">
        <w:rPr>
          <w:lang w:val="es-ES"/>
        </w:rPr>
        <w:t>CMRE</w:t>
      </w:r>
      <w:r>
        <w:rPr>
          <w:lang w:val="es-ES"/>
        </w:rPr>
        <w:t xml:space="preserve"> pueden emplear sistemas de supercomputación, redes de comunicación de alta velocidad, instalaciones de asimilación y almacenamiento de datos, y sistemas informáticos para </w:t>
      </w:r>
      <w:r w:rsidR="00BC056B">
        <w:rPr>
          <w:lang w:val="es-ES"/>
        </w:rPr>
        <w:t xml:space="preserve">llevar a cabo el </w:t>
      </w:r>
      <w:r w:rsidR="00B645A6">
        <w:rPr>
          <w:lang w:val="es-ES"/>
        </w:rPr>
        <w:t>proceso</w:t>
      </w:r>
      <w:r w:rsidR="00BC056B">
        <w:rPr>
          <w:lang w:val="es-ES"/>
        </w:rPr>
        <w:t xml:space="preserve"> previo y posterior de</w:t>
      </w:r>
      <w:r>
        <w:rPr>
          <w:lang w:val="es-ES"/>
        </w:rPr>
        <w:t xml:space="preserve"> las entradas y salidas del sistema de modelización. </w:t>
      </w:r>
    </w:p>
    <w:p w14:paraId="6C284180" w14:textId="1C1BCD6C" w:rsidR="003E5D1B" w:rsidRPr="008357EA" w:rsidRDefault="00E26782">
      <w:pPr>
        <w:spacing w:after="240" w:line="240" w:lineRule="exact"/>
        <w:rPr>
          <w:rFonts w:eastAsiaTheme="minorEastAsia" w:cstheme="majorBidi"/>
          <w:color w:val="000000" w:themeColor="text1"/>
          <w:lang w:val="es-419"/>
        </w:rPr>
      </w:pPr>
      <w:r>
        <w:rPr>
          <w:lang w:val="es-ES"/>
        </w:rPr>
        <w:t xml:space="preserve">Al igual que </w:t>
      </w:r>
      <w:r w:rsidR="00A30906">
        <w:rPr>
          <w:lang w:val="es-ES"/>
        </w:rPr>
        <w:t>a</w:t>
      </w:r>
      <w:r>
        <w:rPr>
          <w:lang w:val="es-ES"/>
        </w:rPr>
        <w:t xml:space="preserve"> los </w:t>
      </w:r>
      <w:r w:rsidR="00A95DEF">
        <w:rPr>
          <w:lang w:val="es-ES"/>
        </w:rPr>
        <w:t>CMM</w:t>
      </w:r>
      <w:r>
        <w:rPr>
          <w:lang w:val="es-ES"/>
        </w:rPr>
        <w:t xml:space="preserve">, se anima a los </w:t>
      </w:r>
      <w:r w:rsidR="00A95DEF">
        <w:rPr>
          <w:lang w:val="es-ES"/>
        </w:rPr>
        <w:t>CMRE</w:t>
      </w:r>
      <w:r>
        <w:rPr>
          <w:lang w:val="es-ES"/>
        </w:rPr>
        <w:t xml:space="preserve"> que </w:t>
      </w:r>
      <w:r w:rsidR="00A30906">
        <w:rPr>
          <w:lang w:val="es-ES"/>
        </w:rPr>
        <w:t>hacen</w:t>
      </w:r>
      <w:r>
        <w:rPr>
          <w:lang w:val="es-ES"/>
        </w:rPr>
        <w:t xml:space="preserve"> predicciones numéricas del tiempo determinísticas y por conjuntos a escala mundial a poner a disposición de los </w:t>
      </w:r>
      <w:r w:rsidR="006753E1">
        <w:rPr>
          <w:lang w:val="es-ES"/>
        </w:rPr>
        <w:t>CMN</w:t>
      </w:r>
      <w:r>
        <w:rPr>
          <w:lang w:val="es-ES"/>
        </w:rPr>
        <w:t xml:space="preserve"> los datos de las condiciones iniciales y de contorno de sus sistemas de modelos para que los utilicen al hacer predicciones numéricas del tiempo determinísticas y por conjuntos de área limitada.</w:t>
      </w:r>
    </w:p>
    <w:p w14:paraId="5F65C9D4" w14:textId="3852C66B" w:rsidR="003E5D1B" w:rsidRPr="008357EA" w:rsidRDefault="00E26782">
      <w:pPr>
        <w:keepNext/>
        <w:spacing w:before="240" w:after="240" w:line="240" w:lineRule="exact"/>
        <w:ind w:left="1123" w:hanging="1123"/>
        <w:outlineLvl w:val="5"/>
        <w:rPr>
          <w:rFonts w:eastAsiaTheme="minorEastAsia" w:cstheme="majorBidi"/>
          <w:b/>
          <w:bCs/>
          <w:i/>
          <w:iCs/>
          <w:color w:val="000000" w:themeColor="text1"/>
          <w:lang w:val="es-419"/>
        </w:rPr>
      </w:pPr>
      <w:bookmarkStart w:id="50" w:name="_Toc113003293"/>
      <w:bookmarkStart w:id="51" w:name="_Toc113024418"/>
      <w:bookmarkStart w:id="52" w:name="_Toc117501950"/>
      <w:r>
        <w:rPr>
          <w:b/>
          <w:bCs/>
          <w:i/>
          <w:iCs/>
          <w:lang w:val="es-ES"/>
        </w:rPr>
        <w:t>1.3.3.3</w:t>
      </w:r>
      <w:r>
        <w:rPr>
          <w:lang w:val="es-ES"/>
        </w:rPr>
        <w:tab/>
      </w:r>
      <w:r>
        <w:rPr>
          <w:b/>
          <w:bCs/>
          <w:i/>
          <w:iCs/>
          <w:lang w:val="es-ES"/>
        </w:rPr>
        <w:t>Redes</w:t>
      </w:r>
      <w:bookmarkEnd w:id="50"/>
      <w:bookmarkEnd w:id="51"/>
      <w:bookmarkEnd w:id="52"/>
    </w:p>
    <w:p w14:paraId="5EFCAD72" w14:textId="40D21750" w:rsidR="003E5D1B" w:rsidRPr="008357EA" w:rsidRDefault="00E26782">
      <w:pPr>
        <w:spacing w:after="240" w:line="240" w:lineRule="exact"/>
        <w:rPr>
          <w:rFonts w:eastAsiaTheme="minorEastAsia" w:cstheme="majorBidi"/>
          <w:color w:val="000000" w:themeColor="text1"/>
          <w:lang w:val="es-419"/>
        </w:rPr>
      </w:pPr>
      <w:r>
        <w:rPr>
          <w:lang w:val="es-ES"/>
        </w:rPr>
        <w:t xml:space="preserve">Una red de CMRE, es decir, una asociación de centros del GDPFS constituida con el fin de llevar a cabo una actividad determinada del GDPFS, </w:t>
      </w:r>
      <w:r w:rsidR="00B9178B">
        <w:rPr>
          <w:lang w:val="es-ES"/>
        </w:rPr>
        <w:t>se ajusta a</w:t>
      </w:r>
      <w:r>
        <w:rPr>
          <w:lang w:val="es-ES"/>
        </w:rPr>
        <w:t xml:space="preserve"> las mismas especificaciones y cumple los mismos criterios y compromisos que los centros individuales del GDPFS que llevan a cabo la misma actividad. Se elabora documentación adecuada en que se describe la distribución de las tareas y responsabilidades asociadas a cada nodo conectado a la red de </w:t>
      </w:r>
      <w:r w:rsidR="00A95DEF">
        <w:rPr>
          <w:lang w:val="es-ES"/>
        </w:rPr>
        <w:t>CMRE</w:t>
      </w:r>
      <w:r>
        <w:rPr>
          <w:lang w:val="es-ES"/>
        </w:rPr>
        <w:t xml:space="preserve">. Cada nodo está albergado por un único centro o está dirigido por un centro que consolida las aportaciones de varios centros contribuyentes. Se designa un solo coordinador para atender las demandas de los usuarios de los productos de la red. </w:t>
      </w:r>
    </w:p>
    <w:p w14:paraId="1E96C9AE" w14:textId="4F157702" w:rsidR="003E5D1B" w:rsidRPr="008357EA" w:rsidRDefault="00E26782">
      <w:pPr>
        <w:keepNext/>
        <w:spacing w:before="240" w:after="240" w:line="240" w:lineRule="exact"/>
        <w:ind w:left="1123" w:hanging="1123"/>
        <w:outlineLvl w:val="5"/>
        <w:rPr>
          <w:rFonts w:eastAsiaTheme="minorEastAsia" w:cstheme="majorBidi"/>
          <w:b/>
          <w:bCs/>
          <w:i/>
          <w:iCs/>
          <w:color w:val="000000" w:themeColor="text1"/>
          <w:lang w:val="es-419"/>
        </w:rPr>
      </w:pPr>
      <w:bookmarkStart w:id="53" w:name="_Toc113003294"/>
      <w:bookmarkStart w:id="54" w:name="_Toc113024419"/>
      <w:bookmarkStart w:id="55" w:name="_Toc117501951"/>
      <w:r>
        <w:rPr>
          <w:b/>
          <w:bCs/>
          <w:i/>
          <w:iCs/>
          <w:lang w:val="es-ES"/>
        </w:rPr>
        <w:lastRenderedPageBreak/>
        <w:t>1.3.3.4</w:t>
      </w:r>
      <w:r>
        <w:rPr>
          <w:lang w:val="es-ES"/>
        </w:rPr>
        <w:tab/>
      </w:r>
      <w:r>
        <w:rPr>
          <w:b/>
          <w:bCs/>
          <w:i/>
          <w:iCs/>
          <w:lang w:val="es-ES"/>
        </w:rPr>
        <w:t>Centros Meteorológicos Nacionales</w:t>
      </w:r>
      <w:bookmarkEnd w:id="53"/>
      <w:bookmarkEnd w:id="54"/>
      <w:bookmarkEnd w:id="55"/>
    </w:p>
    <w:p w14:paraId="19C3D4D5" w14:textId="0611FA84" w:rsidR="003E5D1B" w:rsidRPr="008357EA" w:rsidRDefault="00E26782">
      <w:pPr>
        <w:spacing w:after="240" w:line="240" w:lineRule="exact"/>
        <w:rPr>
          <w:rFonts w:eastAsiaTheme="minorEastAsia" w:cstheme="majorBidi"/>
          <w:color w:val="000000" w:themeColor="text1"/>
          <w:lang w:val="es-419"/>
        </w:rPr>
      </w:pPr>
      <w:r>
        <w:rPr>
          <w:lang w:val="es-ES"/>
        </w:rPr>
        <w:t>Los Centros Meteorológicos Nacionales (CMN) de los Miembros de la OMM llevan a cabo las funciones necesarias para satisfacer las necesidades nacionales e internacionales del Miembro al que pertenecen. Cada Miembro de la OMM se asegura de contar con un CMN dotado de los recursos humanos y los equipos adecuados para desempeñar su papel en el GDPFS</w:t>
      </w:r>
      <w:r w:rsidR="0038717F">
        <w:rPr>
          <w:lang w:val="es-ES"/>
        </w:rPr>
        <w:t xml:space="preserve">. </w:t>
      </w:r>
    </w:p>
    <w:p w14:paraId="08C8A0D6" w14:textId="4E28D49E" w:rsidR="003E5D1B" w:rsidRPr="008357EA" w:rsidRDefault="00E26782">
      <w:pPr>
        <w:spacing w:after="240" w:line="240" w:lineRule="exact"/>
        <w:rPr>
          <w:rFonts w:eastAsiaTheme="minorEastAsia" w:cstheme="majorBidi"/>
          <w:color w:val="000000" w:themeColor="text1"/>
          <w:lang w:val="es-419"/>
        </w:rPr>
      </w:pPr>
      <w:r>
        <w:rPr>
          <w:lang w:val="es-ES"/>
        </w:rPr>
        <w:t xml:space="preserve">Las funciones en tiempo real de un </w:t>
      </w:r>
      <w:r w:rsidR="006753E1">
        <w:rPr>
          <w:lang w:val="es-ES"/>
        </w:rPr>
        <w:t>CMN</w:t>
      </w:r>
      <w:r>
        <w:rPr>
          <w:lang w:val="es-ES"/>
        </w:rPr>
        <w:t xml:space="preserve"> son las siguientes:</w:t>
      </w:r>
    </w:p>
    <w:p w14:paraId="13CEE0BA" w14:textId="03950B49" w:rsidR="003E5D1B" w:rsidRPr="008357EA" w:rsidRDefault="00E26782">
      <w:pPr>
        <w:numPr>
          <w:ilvl w:val="0"/>
          <w:numId w:val="6"/>
        </w:numPr>
        <w:tabs>
          <w:tab w:val="clear" w:pos="1134"/>
          <w:tab w:val="left" w:pos="960"/>
        </w:tabs>
        <w:spacing w:after="240" w:line="240" w:lineRule="exact"/>
        <w:rPr>
          <w:color w:val="000000" w:themeColor="text1"/>
          <w:szCs w:val="22"/>
          <w:lang w:val="es-419"/>
        </w:rPr>
      </w:pPr>
      <w:r>
        <w:rPr>
          <w:lang w:val="es-ES"/>
        </w:rPr>
        <w:t xml:space="preserve">Controlar la calidad de todos los datos observacionales nacionales y de los demás datos observacionales </w:t>
      </w:r>
      <w:r w:rsidR="00E969D3">
        <w:rPr>
          <w:lang w:val="es-ES"/>
        </w:rPr>
        <w:t>que reciben</w:t>
      </w:r>
      <w:r>
        <w:rPr>
          <w:lang w:val="es-ES"/>
        </w:rPr>
        <w:t xml:space="preserve">, excepto los </w:t>
      </w:r>
      <w:r w:rsidR="00E969D3">
        <w:rPr>
          <w:lang w:val="es-ES"/>
        </w:rPr>
        <w:t>que llegan</w:t>
      </w:r>
      <w:r>
        <w:rPr>
          <w:lang w:val="es-ES"/>
        </w:rPr>
        <w:t xml:space="preserve"> de centros productores especiales (como los que producen datos obtenidos por satélite). Debe procurarse que el control de calidad de los datos observacionales que se necesitan para usar en tiempo real no introduzca ningún retraso considerable en la transmisión ulterior de los datos a través del Sistema de Información de la OMM (WIS). </w:t>
      </w:r>
    </w:p>
    <w:p w14:paraId="028FEEC7" w14:textId="308739EE" w:rsidR="003E5D1B" w:rsidRPr="008357EA" w:rsidRDefault="00E26782">
      <w:pPr>
        <w:numPr>
          <w:ilvl w:val="0"/>
          <w:numId w:val="6"/>
        </w:numPr>
        <w:tabs>
          <w:tab w:val="clear" w:pos="1134"/>
          <w:tab w:val="left" w:pos="960"/>
        </w:tabs>
        <w:spacing w:after="240" w:line="240" w:lineRule="exact"/>
        <w:rPr>
          <w:color w:val="000000" w:themeColor="text1"/>
          <w:szCs w:val="22"/>
          <w:lang w:val="es-419"/>
        </w:rPr>
      </w:pPr>
      <w:r>
        <w:rPr>
          <w:lang w:val="es-ES"/>
        </w:rPr>
        <w:t>Preprocesar los datos mediante decodificación, control de calidad, clasificación y almacenamiento en bases de datos</w:t>
      </w:r>
      <w:r w:rsidR="002263B3">
        <w:rPr>
          <w:lang w:val="es-ES"/>
        </w:rPr>
        <w:t>,</w:t>
      </w:r>
      <w:r>
        <w:rPr>
          <w:lang w:val="es-ES"/>
        </w:rPr>
        <w:t xml:space="preserve"> para que después se utilicen en la elaboración de productos y, si es posible, para </w:t>
      </w:r>
      <w:r w:rsidR="002263B3">
        <w:rPr>
          <w:lang w:val="es-ES"/>
        </w:rPr>
        <w:t>que</w:t>
      </w:r>
      <w:r w:rsidR="00E969D3">
        <w:rPr>
          <w:lang w:val="es-ES"/>
        </w:rPr>
        <w:t xml:space="preserve"> </w:t>
      </w:r>
      <w:r w:rsidR="002263B3">
        <w:rPr>
          <w:lang w:val="es-ES"/>
        </w:rPr>
        <w:t>se asimilen</w:t>
      </w:r>
      <w:r>
        <w:rPr>
          <w:lang w:val="es-ES"/>
        </w:rPr>
        <w:t xml:space="preserve"> en la predicción numérica del tiempo.</w:t>
      </w:r>
    </w:p>
    <w:p w14:paraId="66C80C67" w14:textId="19D3BB3A" w:rsidR="003E5D1B" w:rsidRPr="008357EA" w:rsidRDefault="00E26782">
      <w:pPr>
        <w:numPr>
          <w:ilvl w:val="0"/>
          <w:numId w:val="6"/>
        </w:numPr>
        <w:tabs>
          <w:tab w:val="clear" w:pos="1134"/>
          <w:tab w:val="left" w:pos="960"/>
        </w:tabs>
        <w:spacing w:after="240" w:line="240" w:lineRule="exact"/>
        <w:rPr>
          <w:color w:val="000000" w:themeColor="text1"/>
          <w:lang w:val="es-419"/>
        </w:rPr>
      </w:pPr>
      <w:r>
        <w:rPr>
          <w:lang w:val="es-ES"/>
        </w:rPr>
        <w:t xml:space="preserve">Usar de la mejor manera posible los productos del GDPFS que satisfagan las necesidades de los usuarios nacionales, con el fin de aprovechar las ventajas del sistema y evitar así la duplicación de costos y esfuerzos. Los </w:t>
      </w:r>
      <w:r w:rsidR="00881EC9">
        <w:rPr>
          <w:lang w:val="es-ES"/>
        </w:rPr>
        <w:t>CMN</w:t>
      </w:r>
      <w:r>
        <w:rPr>
          <w:lang w:val="es-ES"/>
        </w:rPr>
        <w:t xml:space="preserve"> deberían estar conectados al WIS para garantizar una conexión adecuada con los demás centros del GDPFS a fin de llevar a cabo actividades de proceso interactivo entre los centros.</w:t>
      </w:r>
    </w:p>
    <w:p w14:paraId="2390A988" w14:textId="10F5599F" w:rsidR="003E5D1B" w:rsidRPr="008357EA" w:rsidRDefault="00E26782">
      <w:pPr>
        <w:numPr>
          <w:ilvl w:val="0"/>
          <w:numId w:val="6"/>
        </w:numPr>
        <w:tabs>
          <w:tab w:val="clear" w:pos="1134"/>
          <w:tab w:val="left" w:pos="960"/>
        </w:tabs>
        <w:spacing w:after="240" w:line="240" w:lineRule="exact"/>
        <w:rPr>
          <w:color w:val="000000" w:themeColor="text1"/>
          <w:lang w:val="es-419"/>
        </w:rPr>
      </w:pPr>
      <w:r>
        <w:rPr>
          <w:lang w:val="es-ES"/>
        </w:rPr>
        <w:t xml:space="preserve">Teniendo en cuenta los rápidos avances de la ciencia y la tecnología, </w:t>
      </w:r>
      <w:r w:rsidR="00BF0573">
        <w:rPr>
          <w:lang w:val="es-ES"/>
        </w:rPr>
        <w:t xml:space="preserve">los CMN </w:t>
      </w:r>
      <w:r>
        <w:rPr>
          <w:lang w:val="es-ES"/>
        </w:rPr>
        <w:t xml:space="preserve">deberían </w:t>
      </w:r>
      <w:r w:rsidR="00B645A6">
        <w:rPr>
          <w:lang w:val="es-ES"/>
        </w:rPr>
        <w:t>llevar a cabo el proceso posterior de</w:t>
      </w:r>
      <w:r>
        <w:rPr>
          <w:lang w:val="es-ES"/>
        </w:rPr>
        <w:t xml:space="preserve"> la predicción numérica del tiempo a escala mundial y regional utilizando soluciones innovadoras y </w:t>
      </w:r>
      <w:r w:rsidR="00BF0573">
        <w:rPr>
          <w:lang w:val="es-ES"/>
        </w:rPr>
        <w:t>eficaces en función de los costos</w:t>
      </w:r>
      <w:r>
        <w:rPr>
          <w:lang w:val="es-ES"/>
        </w:rPr>
        <w:t>.</w:t>
      </w:r>
    </w:p>
    <w:p w14:paraId="7FC49647" w14:textId="41EFBA71" w:rsidR="003E5D1B" w:rsidRPr="008357EA" w:rsidRDefault="004C2258">
      <w:pPr>
        <w:numPr>
          <w:ilvl w:val="0"/>
          <w:numId w:val="6"/>
        </w:numPr>
        <w:tabs>
          <w:tab w:val="clear" w:pos="1134"/>
          <w:tab w:val="left" w:pos="960"/>
        </w:tabs>
        <w:spacing w:after="240" w:line="240" w:lineRule="exact"/>
        <w:rPr>
          <w:color w:val="000000" w:themeColor="text1"/>
          <w:szCs w:val="22"/>
          <w:lang w:val="es-419"/>
        </w:rPr>
      </w:pPr>
      <w:r>
        <w:rPr>
          <w:lang w:val="es-ES"/>
        </w:rPr>
        <w:t xml:space="preserve">Elaborar predicciones y avisos en todos los plazos necesarios para satisfacer las necesidades del Miembro de la OMM, apoyando sobre todo a los siguientes: i) los programas nacionales destinados a </w:t>
      </w:r>
      <w:r w:rsidR="00A65E1E">
        <w:rPr>
          <w:lang w:val="es-ES"/>
        </w:rPr>
        <w:t xml:space="preserve">advertir sobre fenómenos meteorológicos </w:t>
      </w:r>
      <w:r w:rsidR="00647549">
        <w:rPr>
          <w:lang w:val="es-ES"/>
        </w:rPr>
        <w:t>adversos</w:t>
      </w:r>
      <w:r w:rsidR="00A65E1E">
        <w:rPr>
          <w:lang w:val="es-ES"/>
        </w:rPr>
        <w:t xml:space="preserve"> para </w:t>
      </w:r>
      <w:r>
        <w:rPr>
          <w:lang w:val="es-ES"/>
        </w:rPr>
        <w:t xml:space="preserve">proteger la vida y los bienes, y ii) los sectores económicos. </w:t>
      </w:r>
    </w:p>
    <w:p w14:paraId="33C613C3" w14:textId="41AC66DB" w:rsidR="003E5D1B" w:rsidRPr="008357EA" w:rsidRDefault="00E26782">
      <w:pPr>
        <w:spacing w:after="240" w:line="240" w:lineRule="exact"/>
        <w:rPr>
          <w:rFonts w:eastAsiaTheme="minorEastAsia"/>
          <w:color w:val="000000" w:themeColor="text1"/>
          <w:lang w:val="es-419"/>
        </w:rPr>
      </w:pPr>
      <w:r>
        <w:rPr>
          <w:lang w:val="es-ES"/>
        </w:rPr>
        <w:t xml:space="preserve">Los Miembros de la OMM deberían velar por que sus CMN archiven y recuperen los datos </w:t>
      </w:r>
      <w:r w:rsidR="003C4048">
        <w:rPr>
          <w:lang w:val="es-ES"/>
        </w:rPr>
        <w:t>que correspondan</w:t>
      </w:r>
      <w:r>
        <w:rPr>
          <w:lang w:val="es-ES"/>
        </w:rPr>
        <w:t xml:space="preserve"> procedentes de sus redes e instalaciones nacionales de observación, y por que lleven a cabo un control de calidad, con el fin de desempeñar las funciones del GDPFS en tiempo no real relacionadas con la verificación de las predicciones. Los resultados de la verificación de las predicciones deberían comunicarse a los </w:t>
      </w:r>
      <w:r w:rsidR="00A95DEF">
        <w:rPr>
          <w:lang w:val="es-ES"/>
        </w:rPr>
        <w:t>CMM</w:t>
      </w:r>
      <w:r>
        <w:rPr>
          <w:lang w:val="es-ES"/>
        </w:rPr>
        <w:t xml:space="preserve"> y </w:t>
      </w:r>
      <w:r w:rsidR="00A95DEF">
        <w:rPr>
          <w:lang w:val="es-ES"/>
        </w:rPr>
        <w:t>CMRE</w:t>
      </w:r>
      <w:r>
        <w:rPr>
          <w:lang w:val="es-ES"/>
        </w:rPr>
        <w:t xml:space="preserve"> afines</w:t>
      </w:r>
      <w:r w:rsidR="0038717F">
        <w:rPr>
          <w:lang w:val="es-ES"/>
        </w:rPr>
        <w:t xml:space="preserve">. </w:t>
      </w:r>
    </w:p>
    <w:p w14:paraId="50F0DDF4" w14:textId="62185457" w:rsidR="003E5D1B" w:rsidRPr="008357EA" w:rsidRDefault="00E26782">
      <w:pPr>
        <w:spacing w:after="240" w:line="240" w:lineRule="exact"/>
        <w:rPr>
          <w:rFonts w:eastAsiaTheme="minorEastAsia" w:cstheme="majorBidi"/>
          <w:color w:val="000000" w:themeColor="text1"/>
          <w:lang w:val="es-419"/>
        </w:rPr>
      </w:pPr>
      <w:r>
        <w:rPr>
          <w:lang w:val="es-ES"/>
        </w:rPr>
        <w:t xml:space="preserve">Los </w:t>
      </w:r>
      <w:r w:rsidR="006753E1">
        <w:rPr>
          <w:lang w:val="es-ES"/>
        </w:rPr>
        <w:t>CMN</w:t>
      </w:r>
      <w:r>
        <w:rPr>
          <w:lang w:val="es-ES"/>
        </w:rPr>
        <w:t xml:space="preserve"> deberían proporcionar anualmente en sus sitios web información detallada sobre la configuración de sus sistemas de predicción numérica del tiempo. Aunque no estén designados formalmente como </w:t>
      </w:r>
      <w:r w:rsidR="00A95DEF">
        <w:rPr>
          <w:lang w:val="es-ES"/>
        </w:rPr>
        <w:t>CMM</w:t>
      </w:r>
      <w:r>
        <w:rPr>
          <w:lang w:val="es-ES"/>
        </w:rPr>
        <w:t xml:space="preserve"> o </w:t>
      </w:r>
      <w:r w:rsidR="00A95DEF">
        <w:rPr>
          <w:lang w:val="es-ES"/>
        </w:rPr>
        <w:t>CMRE</w:t>
      </w:r>
      <w:r>
        <w:rPr>
          <w:lang w:val="es-ES"/>
        </w:rPr>
        <w:t xml:space="preserve">, los </w:t>
      </w:r>
      <w:r w:rsidR="006753E1">
        <w:rPr>
          <w:lang w:val="es-ES"/>
        </w:rPr>
        <w:t>CMN</w:t>
      </w:r>
      <w:r>
        <w:rPr>
          <w:lang w:val="es-ES"/>
        </w:rPr>
        <w:t xml:space="preserve"> deberían poner a disposición sus productos de predicción a través del WIS, ya sea para que haya un intercambio internacional completo o para compartirlos con uno o varios </w:t>
      </w:r>
      <w:r w:rsidR="006753E1">
        <w:rPr>
          <w:lang w:val="es-ES"/>
        </w:rPr>
        <w:t>CMN</w:t>
      </w:r>
      <w:r>
        <w:rPr>
          <w:lang w:val="es-ES"/>
        </w:rPr>
        <w:t xml:space="preserve"> de países concretos de su región mediante acuerdos bilaterales.</w:t>
      </w:r>
    </w:p>
    <w:p w14:paraId="437FC9BC" w14:textId="0943B791" w:rsidR="003E5D1B" w:rsidRPr="008357EA" w:rsidRDefault="00E26782">
      <w:pPr>
        <w:keepNext/>
        <w:spacing w:before="240" w:after="240" w:line="240" w:lineRule="exact"/>
        <w:ind w:left="1123" w:hanging="1123"/>
        <w:outlineLvl w:val="5"/>
        <w:rPr>
          <w:rFonts w:eastAsiaTheme="minorEastAsia" w:cstheme="majorBidi"/>
          <w:b/>
          <w:bCs/>
          <w:i/>
          <w:iCs/>
          <w:color w:val="000000" w:themeColor="text1"/>
          <w:lang w:val="es-419"/>
        </w:rPr>
      </w:pPr>
      <w:bookmarkStart w:id="56" w:name="_Toc113003295"/>
      <w:bookmarkStart w:id="57" w:name="_Toc113024420"/>
      <w:bookmarkStart w:id="58" w:name="_Toc117501952"/>
      <w:r>
        <w:rPr>
          <w:b/>
          <w:bCs/>
          <w:i/>
          <w:iCs/>
          <w:lang w:val="es-ES"/>
        </w:rPr>
        <w:t>1.3.3.5</w:t>
      </w:r>
      <w:r>
        <w:rPr>
          <w:lang w:val="es-ES"/>
        </w:rPr>
        <w:tab/>
      </w:r>
      <w:r>
        <w:rPr>
          <w:b/>
          <w:bCs/>
          <w:i/>
          <w:iCs/>
          <w:lang w:val="es-ES"/>
        </w:rPr>
        <w:t>Denominación de los centros</w:t>
      </w:r>
      <w:bookmarkEnd w:id="56"/>
      <w:bookmarkEnd w:id="57"/>
      <w:bookmarkEnd w:id="58"/>
    </w:p>
    <w:p w14:paraId="186B00F3" w14:textId="0FA917A7" w:rsidR="003E5D1B" w:rsidRPr="008357EA" w:rsidRDefault="003C4048">
      <w:pPr>
        <w:spacing w:after="240"/>
        <w:rPr>
          <w:rFonts w:eastAsia="SimSun" w:cs="Times New Roman"/>
          <w:color w:val="000000" w:themeColor="text1"/>
          <w:lang w:val="es-419"/>
        </w:rPr>
      </w:pPr>
      <w:r>
        <w:rPr>
          <w:lang w:val="es-ES"/>
        </w:rPr>
        <w:t>Para denominar los centros del GDPFS se ha aplicado la siguiente convención:</w:t>
      </w:r>
    </w:p>
    <w:p w14:paraId="5C1020F9" w14:textId="27F66724" w:rsidR="003E5D1B" w:rsidRPr="008357EA" w:rsidRDefault="00A95DEF">
      <w:pPr>
        <w:numPr>
          <w:ilvl w:val="0"/>
          <w:numId w:val="32"/>
        </w:numPr>
        <w:spacing w:after="240" w:line="240" w:lineRule="exact"/>
        <w:rPr>
          <w:rFonts w:eastAsiaTheme="minorEastAsia" w:cstheme="majorBidi"/>
          <w:color w:val="000000" w:themeColor="text1"/>
          <w:lang w:val="es-419"/>
        </w:rPr>
      </w:pPr>
      <w:r>
        <w:rPr>
          <w:lang w:val="es-ES"/>
        </w:rPr>
        <w:t>CMM</w:t>
      </w:r>
      <w:r w:rsidR="001F7F0A">
        <w:rPr>
          <w:lang w:val="es-ES"/>
        </w:rPr>
        <w:t xml:space="preserve"> de</w:t>
      </w:r>
      <w:r>
        <w:rPr>
          <w:i/>
          <w:iCs/>
          <w:lang w:val="es-ES"/>
        </w:rPr>
        <w:t xml:space="preserve"> [ciudad donde se encuentra el SMHN] </w:t>
      </w:r>
      <w:r>
        <w:rPr>
          <w:lang w:val="es-ES"/>
        </w:rPr>
        <w:t>y CMRE</w:t>
      </w:r>
      <w:r w:rsidR="001F7F0A">
        <w:rPr>
          <w:lang w:val="es-ES"/>
        </w:rPr>
        <w:t xml:space="preserve"> de</w:t>
      </w:r>
      <w:r>
        <w:rPr>
          <w:lang w:val="es-ES"/>
        </w:rPr>
        <w:t xml:space="preserve"> </w:t>
      </w:r>
      <w:r>
        <w:rPr>
          <w:i/>
          <w:iCs/>
          <w:lang w:val="es-ES"/>
        </w:rPr>
        <w:t>[ciudad donde se encuentra el SMHN]</w:t>
      </w:r>
      <w:r>
        <w:rPr>
          <w:lang w:val="es-ES"/>
        </w:rPr>
        <w:t>, cuando las actividades se lleven a cabo íntegramente en un SMHN.</w:t>
      </w:r>
    </w:p>
    <w:p w14:paraId="71CDE139" w14:textId="08186FA2" w:rsidR="003E5D1B" w:rsidRPr="008357EA" w:rsidRDefault="00A95DEF">
      <w:pPr>
        <w:numPr>
          <w:ilvl w:val="0"/>
          <w:numId w:val="32"/>
        </w:numPr>
        <w:spacing w:after="240" w:line="240" w:lineRule="exact"/>
        <w:rPr>
          <w:rFonts w:eastAsiaTheme="minorEastAsia" w:cstheme="majorBidi"/>
          <w:color w:val="000000" w:themeColor="text1"/>
          <w:lang w:val="es-419"/>
        </w:rPr>
      </w:pPr>
      <w:r>
        <w:rPr>
          <w:lang w:val="es-ES"/>
        </w:rPr>
        <w:lastRenderedPageBreak/>
        <w:t>CMM</w:t>
      </w:r>
      <w:r w:rsidR="001F7F0A">
        <w:rPr>
          <w:lang w:val="es-ES"/>
        </w:rPr>
        <w:t xml:space="preserve"> de</w:t>
      </w:r>
      <w:r>
        <w:rPr>
          <w:lang w:val="es-ES"/>
        </w:rPr>
        <w:t xml:space="preserve"> </w:t>
      </w:r>
      <w:r>
        <w:rPr>
          <w:i/>
          <w:iCs/>
          <w:lang w:val="es-ES"/>
        </w:rPr>
        <w:t>[nombre de la organización]</w:t>
      </w:r>
      <w:r>
        <w:rPr>
          <w:lang w:val="es-ES"/>
        </w:rPr>
        <w:t xml:space="preserve"> y CMRE</w:t>
      </w:r>
      <w:r w:rsidR="001F7F0A">
        <w:rPr>
          <w:lang w:val="es-ES"/>
        </w:rPr>
        <w:t xml:space="preserve"> de</w:t>
      </w:r>
      <w:r>
        <w:rPr>
          <w:lang w:val="es-ES"/>
        </w:rPr>
        <w:t xml:space="preserve"> </w:t>
      </w:r>
      <w:r>
        <w:rPr>
          <w:i/>
          <w:iCs/>
          <w:lang w:val="es-ES"/>
        </w:rPr>
        <w:t>[nombre de la organización]</w:t>
      </w:r>
      <w:r>
        <w:rPr>
          <w:lang w:val="es-ES"/>
        </w:rPr>
        <w:t>, cuando las actividades sean realizadas íntegramente por una organización internacional asociada.</w:t>
      </w:r>
    </w:p>
    <w:p w14:paraId="02462FB6" w14:textId="6C8BD822" w:rsidR="003E5D1B" w:rsidRPr="008357EA" w:rsidRDefault="00A95DEF">
      <w:pPr>
        <w:numPr>
          <w:ilvl w:val="0"/>
          <w:numId w:val="32"/>
        </w:numPr>
        <w:spacing w:after="240" w:line="240" w:lineRule="exact"/>
        <w:rPr>
          <w:rFonts w:eastAsiaTheme="minorEastAsia" w:cstheme="majorBidi"/>
          <w:color w:val="000000" w:themeColor="text1"/>
          <w:lang w:val="es-419"/>
        </w:rPr>
      </w:pPr>
      <w:r>
        <w:rPr>
          <w:lang w:val="es-ES"/>
        </w:rPr>
        <w:t>CMM</w:t>
      </w:r>
      <w:r w:rsidR="001F7F0A">
        <w:rPr>
          <w:lang w:val="es-ES"/>
        </w:rPr>
        <w:t xml:space="preserve"> de</w:t>
      </w:r>
      <w:r>
        <w:rPr>
          <w:i/>
          <w:iCs/>
          <w:lang w:val="es-ES"/>
        </w:rPr>
        <w:t xml:space="preserve"> [nombre de la organización (país donde </w:t>
      </w:r>
      <w:r w:rsidR="000838D3">
        <w:rPr>
          <w:i/>
          <w:iCs/>
          <w:lang w:val="es-ES"/>
        </w:rPr>
        <w:t>reside</w:t>
      </w:r>
      <w:r>
        <w:rPr>
          <w:i/>
          <w:iCs/>
          <w:lang w:val="es-ES"/>
        </w:rPr>
        <w:t xml:space="preserve"> la organización)]</w:t>
      </w:r>
      <w:r>
        <w:rPr>
          <w:lang w:val="es-ES"/>
        </w:rPr>
        <w:t xml:space="preserve"> y CMRE</w:t>
      </w:r>
      <w:r w:rsidR="001F7F0A">
        <w:rPr>
          <w:lang w:val="es-ES"/>
        </w:rPr>
        <w:t xml:space="preserve"> de</w:t>
      </w:r>
      <w:r>
        <w:rPr>
          <w:lang w:val="es-ES"/>
        </w:rPr>
        <w:t xml:space="preserve"> </w:t>
      </w:r>
      <w:r>
        <w:rPr>
          <w:i/>
          <w:iCs/>
          <w:lang w:val="es-ES"/>
        </w:rPr>
        <w:t xml:space="preserve">[nombre de la organización (país donde </w:t>
      </w:r>
      <w:r w:rsidR="000838D3">
        <w:rPr>
          <w:i/>
          <w:iCs/>
          <w:lang w:val="es-ES"/>
        </w:rPr>
        <w:t>reside</w:t>
      </w:r>
      <w:r>
        <w:rPr>
          <w:i/>
          <w:iCs/>
          <w:lang w:val="es-ES"/>
        </w:rPr>
        <w:t xml:space="preserve"> la organización)]</w:t>
      </w:r>
      <w:r>
        <w:rPr>
          <w:lang w:val="es-ES"/>
        </w:rPr>
        <w:t>, cuando las actividades sean realizadas íntegramente por una organización que sea independiente del SMHN.</w:t>
      </w:r>
    </w:p>
    <w:p w14:paraId="59A11116" w14:textId="13FA3CAA" w:rsidR="003E5D1B" w:rsidRPr="008357EA" w:rsidRDefault="00A95DEF">
      <w:pPr>
        <w:numPr>
          <w:ilvl w:val="0"/>
          <w:numId w:val="32"/>
        </w:numPr>
        <w:spacing w:after="240" w:line="240" w:lineRule="exact"/>
        <w:rPr>
          <w:rFonts w:eastAsiaTheme="minorEastAsia" w:cstheme="majorBidi"/>
          <w:color w:val="000000" w:themeColor="text1"/>
          <w:lang w:val="es-419"/>
        </w:rPr>
      </w:pPr>
      <w:r>
        <w:rPr>
          <w:lang w:val="es-ES"/>
        </w:rPr>
        <w:t>CMM</w:t>
      </w:r>
      <w:r w:rsidR="001F7F0A">
        <w:rPr>
          <w:lang w:val="es-ES"/>
        </w:rPr>
        <w:t xml:space="preserve"> de</w:t>
      </w:r>
      <w:r>
        <w:rPr>
          <w:i/>
          <w:iCs/>
          <w:lang w:val="es-ES"/>
        </w:rPr>
        <w:t xml:space="preserve"> [ciudad de la organización]</w:t>
      </w:r>
      <w:r>
        <w:rPr>
          <w:lang w:val="es-ES"/>
        </w:rPr>
        <w:t xml:space="preserve"> y CMRE</w:t>
      </w:r>
      <w:r w:rsidR="001F7F0A">
        <w:rPr>
          <w:lang w:val="es-ES"/>
        </w:rPr>
        <w:t xml:space="preserve"> de</w:t>
      </w:r>
      <w:r>
        <w:rPr>
          <w:i/>
          <w:iCs/>
          <w:lang w:val="es-ES"/>
        </w:rPr>
        <w:t xml:space="preserve"> [ciudad de la organización]</w:t>
      </w:r>
      <w:r>
        <w:rPr>
          <w:lang w:val="es-ES"/>
        </w:rPr>
        <w:t>, cuando las actividades sean realizadas por una organización nacional con el apoyo del SMHN.</w:t>
      </w:r>
    </w:p>
    <w:p w14:paraId="13196D23" w14:textId="4D5D3D2B" w:rsidR="003E5D1B" w:rsidRPr="008357EA" w:rsidRDefault="00A95DEF">
      <w:pPr>
        <w:numPr>
          <w:ilvl w:val="0"/>
          <w:numId w:val="32"/>
        </w:numPr>
        <w:spacing w:after="240" w:line="240" w:lineRule="exact"/>
        <w:rPr>
          <w:rFonts w:eastAsiaTheme="minorEastAsia" w:cstheme="majorBidi"/>
          <w:color w:val="000000" w:themeColor="text1"/>
          <w:lang w:val="es-419"/>
        </w:rPr>
      </w:pPr>
      <w:r>
        <w:rPr>
          <w:lang w:val="es-ES"/>
        </w:rPr>
        <w:t>CMM</w:t>
      </w:r>
      <w:r w:rsidR="001F7F0A">
        <w:rPr>
          <w:lang w:val="es-ES"/>
        </w:rPr>
        <w:t xml:space="preserve"> de</w:t>
      </w:r>
      <w:r>
        <w:rPr>
          <w:i/>
          <w:iCs/>
          <w:lang w:val="es-ES"/>
        </w:rPr>
        <w:t xml:space="preserve"> [nombre del consorcio]</w:t>
      </w:r>
      <w:r>
        <w:rPr>
          <w:lang w:val="es-ES"/>
        </w:rPr>
        <w:t xml:space="preserve"> y CMRE</w:t>
      </w:r>
      <w:r w:rsidR="001F7F0A">
        <w:rPr>
          <w:lang w:val="es-ES"/>
        </w:rPr>
        <w:t xml:space="preserve"> de</w:t>
      </w:r>
      <w:r>
        <w:rPr>
          <w:lang w:val="es-ES"/>
        </w:rPr>
        <w:t xml:space="preserve"> </w:t>
      </w:r>
      <w:r>
        <w:rPr>
          <w:i/>
          <w:iCs/>
          <w:lang w:val="es-ES"/>
        </w:rPr>
        <w:t>[nombre del consorcio]</w:t>
      </w:r>
      <w:r>
        <w:rPr>
          <w:lang w:val="es-ES"/>
        </w:rPr>
        <w:t>, cuando las actividades sean realizadas por un grupo de instituciones que sean miembros de un consorcio.</w:t>
      </w:r>
    </w:p>
    <w:p w14:paraId="517C90A9" w14:textId="55B33C02" w:rsidR="003E5D1B" w:rsidRPr="008357EA" w:rsidRDefault="00A95DEF">
      <w:pPr>
        <w:numPr>
          <w:ilvl w:val="0"/>
          <w:numId w:val="32"/>
        </w:numPr>
        <w:spacing w:after="240" w:line="240" w:lineRule="exact"/>
        <w:rPr>
          <w:rFonts w:eastAsiaTheme="minorEastAsia" w:cstheme="majorBidi"/>
          <w:color w:val="000000" w:themeColor="text1"/>
          <w:lang w:val="es-419"/>
        </w:rPr>
      </w:pPr>
      <w:r>
        <w:rPr>
          <w:lang w:val="es-ES"/>
        </w:rPr>
        <w:t>CMRE</w:t>
      </w:r>
      <w:r w:rsidR="003757B0">
        <w:rPr>
          <w:lang w:val="es-ES"/>
        </w:rPr>
        <w:t xml:space="preserve"> de</w:t>
      </w:r>
      <w:r>
        <w:rPr>
          <w:lang w:val="es-ES"/>
        </w:rPr>
        <w:t xml:space="preserve"> </w:t>
      </w:r>
      <w:r>
        <w:rPr>
          <w:i/>
          <w:iCs/>
          <w:lang w:val="es-ES"/>
        </w:rPr>
        <w:t xml:space="preserve">[subregión geográfica </w:t>
      </w:r>
      <w:r w:rsidR="000838D3">
        <w:rPr>
          <w:i/>
          <w:iCs/>
          <w:lang w:val="es-ES"/>
        </w:rPr>
        <w:t>albergada</w:t>
      </w:r>
      <w:r>
        <w:rPr>
          <w:i/>
          <w:iCs/>
          <w:lang w:val="es-ES"/>
        </w:rPr>
        <w:t xml:space="preserve"> por el nombre de la organización (Asociación Regional)]</w:t>
      </w:r>
      <w:r>
        <w:rPr>
          <w:lang w:val="es-ES"/>
        </w:rPr>
        <w:t>, cuando las actividades sean llevadas a cabo por una organización que sea independiente del SMHN y abarquen una subregión.</w:t>
      </w:r>
    </w:p>
    <w:p w14:paraId="32C67F08" w14:textId="0892459C" w:rsidR="003E5D1B" w:rsidRPr="000838D3" w:rsidRDefault="00E26782" w:rsidP="000838D3">
      <w:pPr>
        <w:spacing w:after="240" w:line="240" w:lineRule="exact"/>
        <w:rPr>
          <w:rFonts w:eastAsia="SimSun" w:cs="Times New Roman"/>
          <w:color w:val="000000" w:themeColor="text1"/>
          <w:sz w:val="16"/>
          <w:szCs w:val="16"/>
          <w:lang w:val="es-419"/>
        </w:rPr>
      </w:pPr>
      <w:r w:rsidRPr="000838D3">
        <w:rPr>
          <w:sz w:val="16"/>
          <w:szCs w:val="16"/>
          <w:lang w:val="es-ES"/>
        </w:rPr>
        <w:t xml:space="preserve">Nota: se reconoce que la "ciudad" geográfica puede ser </w:t>
      </w:r>
      <w:r w:rsidR="0035548C">
        <w:rPr>
          <w:sz w:val="16"/>
          <w:szCs w:val="16"/>
          <w:lang w:val="es-ES"/>
        </w:rPr>
        <w:t xml:space="preserve">un concepto </w:t>
      </w:r>
      <w:r w:rsidRPr="000838D3">
        <w:rPr>
          <w:sz w:val="16"/>
          <w:szCs w:val="16"/>
          <w:lang w:val="es-ES"/>
        </w:rPr>
        <w:t xml:space="preserve">algo </w:t>
      </w:r>
      <w:r w:rsidR="0035548C">
        <w:rPr>
          <w:sz w:val="16"/>
          <w:szCs w:val="16"/>
          <w:lang w:val="es-ES"/>
        </w:rPr>
        <w:t>teórico</w:t>
      </w:r>
      <w:r w:rsidRPr="000838D3">
        <w:rPr>
          <w:sz w:val="16"/>
          <w:szCs w:val="16"/>
          <w:lang w:val="es-ES"/>
        </w:rPr>
        <w:t xml:space="preserve">, ya que las organizaciones pueden tener múltiples </w:t>
      </w:r>
      <w:r w:rsidR="007873DF">
        <w:rPr>
          <w:sz w:val="16"/>
          <w:szCs w:val="16"/>
          <w:lang w:val="es-ES"/>
        </w:rPr>
        <w:t xml:space="preserve">ubicaciones de </w:t>
      </w:r>
      <w:r w:rsidRPr="000838D3">
        <w:rPr>
          <w:sz w:val="16"/>
          <w:szCs w:val="16"/>
          <w:lang w:val="es-ES"/>
        </w:rPr>
        <w:t>"</w:t>
      </w:r>
      <w:r w:rsidR="007873DF">
        <w:rPr>
          <w:sz w:val="16"/>
          <w:szCs w:val="16"/>
          <w:lang w:val="es-ES"/>
        </w:rPr>
        <w:t>origen</w:t>
      </w:r>
      <w:r w:rsidRPr="000838D3">
        <w:rPr>
          <w:sz w:val="16"/>
          <w:szCs w:val="16"/>
          <w:lang w:val="es-ES"/>
        </w:rPr>
        <w:t>".</w:t>
      </w:r>
    </w:p>
    <w:p w14:paraId="0404355E" w14:textId="1E52BAD7" w:rsidR="003E5D1B" w:rsidRPr="008357EA" w:rsidRDefault="00E26782">
      <w:pPr>
        <w:keepNext/>
        <w:tabs>
          <w:tab w:val="clear" w:pos="1134"/>
        </w:tabs>
        <w:spacing w:before="480" w:after="200" w:line="276" w:lineRule="auto"/>
        <w:ind w:left="1123" w:hanging="1123"/>
        <w:jc w:val="left"/>
        <w:outlineLvl w:val="3"/>
        <w:rPr>
          <w:rFonts w:eastAsiaTheme="minorHAnsi" w:cstheme="majorBidi"/>
          <w:b/>
          <w:bCs/>
          <w:caps/>
          <w:color w:val="000000" w:themeColor="text1"/>
          <w:lang w:val="es-419"/>
        </w:rPr>
      </w:pPr>
      <w:bookmarkStart w:id="59" w:name="_Toc113003296"/>
      <w:bookmarkStart w:id="60" w:name="_Toc113024421"/>
      <w:bookmarkStart w:id="61" w:name="_Toc117501953"/>
      <w:r>
        <w:rPr>
          <w:b/>
          <w:bCs/>
          <w:lang w:val="es-ES"/>
        </w:rPr>
        <w:t>1.4</w:t>
      </w:r>
      <w:r>
        <w:rPr>
          <w:lang w:val="es-ES"/>
        </w:rPr>
        <w:tab/>
      </w:r>
      <w:r w:rsidR="00E93F4A">
        <w:rPr>
          <w:b/>
          <w:bCs/>
          <w:lang w:val="es-ES"/>
        </w:rPr>
        <w:t>CUMPLIMIENTO DE LAS FUNCIONES NECESARIAS DEL SISTEMA MUNDIAL DE PROCESO DE DATOS Y DE PREDICCIÓN</w:t>
      </w:r>
      <w:bookmarkEnd w:id="59"/>
      <w:bookmarkEnd w:id="60"/>
      <w:bookmarkEnd w:id="61"/>
    </w:p>
    <w:p w14:paraId="30801A5C" w14:textId="1D84A05B" w:rsidR="003E5D1B" w:rsidRPr="008357EA" w:rsidRDefault="00E26782">
      <w:pPr>
        <w:spacing w:after="240" w:line="240" w:lineRule="exact"/>
        <w:rPr>
          <w:color w:val="000000" w:themeColor="text1"/>
          <w:lang w:val="es-419"/>
        </w:rPr>
      </w:pPr>
      <w:r>
        <w:rPr>
          <w:lang w:val="es-ES"/>
        </w:rPr>
        <w:t xml:space="preserve">A través del GDPFS, los Miembros de la OMM suministran información meteorológica, hidrológica, oceanográfica, climática y medioambiental conexa en apoyo a la gama de actividades operativas que se describen en el punto 1.3.2 anterior, y tienen acceso a dicha información. Para mantener la finalidad prevista del GDPFS y sus funciones, los centros designados deben cumplir lo siguiente: a) los requisitos y normas generales, y b) los requisitos concretos de las actividades de cada </w:t>
      </w:r>
      <w:r w:rsidR="00A95DEF">
        <w:rPr>
          <w:lang w:val="es-ES"/>
        </w:rPr>
        <w:t>CMRE</w:t>
      </w:r>
      <w:r>
        <w:rPr>
          <w:lang w:val="es-ES"/>
        </w:rPr>
        <w:t xml:space="preserve">. El incumplimiento de esos requisitos pondría en peligro las actividades y comprometería la capacidad de los Miembros que dependen de los datos y productos del GDPFS para cumplir sus obligaciones nacionales e internacionales. La </w:t>
      </w:r>
      <w:r w:rsidR="00E93F4A">
        <w:rPr>
          <w:lang w:val="es-ES"/>
        </w:rPr>
        <w:t>p</w:t>
      </w:r>
      <w:r>
        <w:rPr>
          <w:lang w:val="es-ES"/>
        </w:rPr>
        <w:t xml:space="preserve">arte II de la presente </w:t>
      </w:r>
      <w:r w:rsidR="00E93F4A">
        <w:rPr>
          <w:lang w:val="es-ES"/>
        </w:rPr>
        <w:t>G</w:t>
      </w:r>
      <w:r>
        <w:rPr>
          <w:lang w:val="es-ES"/>
        </w:rPr>
        <w:t xml:space="preserve">uía contiene instrucciones sobre las prácticas, los procedimientos y las especificaciones referentes a las funciones del GDPFS, y complementa la información que figura en el </w:t>
      </w:r>
      <w:r w:rsidR="002D6434" w:rsidRPr="002D6434">
        <w:rPr>
          <w:i/>
          <w:iCs/>
          <w:lang w:val="es-ES"/>
        </w:rPr>
        <w:t>Manual del Sistema Mundial de Proceso de Datos y de Predicción</w:t>
      </w:r>
      <w:r>
        <w:rPr>
          <w:lang w:val="es-ES"/>
        </w:rPr>
        <w:t xml:space="preserve"> (</w:t>
      </w:r>
      <w:r w:rsidR="00EB4587">
        <w:rPr>
          <w:lang w:val="es-ES"/>
        </w:rPr>
        <w:t>OMM</w:t>
      </w:r>
      <w:r w:rsidR="00EB4587">
        <w:rPr>
          <w:lang w:val="es-ES"/>
        </w:rPr>
        <w:noBreakHyphen/>
        <w:t>Nº</w:t>
      </w:r>
      <w:r w:rsidR="0093047C">
        <w:rPr>
          <w:lang w:val="es-ES"/>
        </w:rPr>
        <w:t> </w:t>
      </w:r>
      <w:r>
        <w:rPr>
          <w:lang w:val="es-ES"/>
        </w:rPr>
        <w:t xml:space="preserve">485). En particular, se indica de qué modo los CMN contribuyen a esas actividades y </w:t>
      </w:r>
      <w:r w:rsidR="00E93F4A">
        <w:rPr>
          <w:lang w:val="es-ES"/>
        </w:rPr>
        <w:t>obtienen beneficios</w:t>
      </w:r>
      <w:r>
        <w:rPr>
          <w:lang w:val="es-ES"/>
        </w:rPr>
        <w:t xml:space="preserve"> de ellas. </w:t>
      </w:r>
    </w:p>
    <w:p w14:paraId="3D8012A4" w14:textId="659CFF37" w:rsidR="003E5D1B" w:rsidRPr="008357EA" w:rsidRDefault="00E26782">
      <w:pPr>
        <w:keepNext/>
        <w:tabs>
          <w:tab w:val="clear" w:pos="1134"/>
        </w:tabs>
        <w:spacing w:before="480" w:after="200" w:line="276" w:lineRule="auto"/>
        <w:ind w:left="1123" w:hanging="1123"/>
        <w:jc w:val="left"/>
        <w:outlineLvl w:val="3"/>
        <w:rPr>
          <w:rFonts w:eastAsiaTheme="minorHAnsi" w:cstheme="majorBidi"/>
          <w:b/>
          <w:bCs/>
          <w:caps/>
          <w:color w:val="000000" w:themeColor="text1"/>
          <w:lang w:val="es-419"/>
        </w:rPr>
      </w:pPr>
      <w:bookmarkStart w:id="62" w:name="_Toc113003297"/>
      <w:bookmarkStart w:id="63" w:name="_Toc113024422"/>
      <w:bookmarkStart w:id="64" w:name="_Toc117501954"/>
      <w:r>
        <w:rPr>
          <w:b/>
          <w:bCs/>
          <w:lang w:val="es-ES"/>
        </w:rPr>
        <w:t>1.5</w:t>
      </w:r>
      <w:r>
        <w:rPr>
          <w:lang w:val="es-ES"/>
        </w:rPr>
        <w:tab/>
      </w:r>
      <w:r w:rsidR="00E93F4A">
        <w:rPr>
          <w:b/>
          <w:bCs/>
          <w:lang w:val="es-ES"/>
        </w:rPr>
        <w:t>RESUMEN DE LAS COMPETENCIAS NECESARIAS O RECOMENDADAS PARA DESEMPEÑAR LAS FUNCIONES DEL GDPFS</w:t>
      </w:r>
      <w:bookmarkEnd w:id="62"/>
      <w:bookmarkEnd w:id="63"/>
      <w:bookmarkEnd w:id="64"/>
    </w:p>
    <w:p w14:paraId="7557E189" w14:textId="461D20B5" w:rsidR="003E5D1B" w:rsidRPr="008357EA" w:rsidRDefault="00E26782">
      <w:pPr>
        <w:keepNext/>
        <w:spacing w:before="240" w:after="240" w:line="240" w:lineRule="exact"/>
        <w:ind w:left="1123" w:hanging="1123"/>
        <w:jc w:val="left"/>
        <w:outlineLvl w:val="4"/>
        <w:rPr>
          <w:b/>
          <w:bCs/>
          <w:color w:val="000000" w:themeColor="text1"/>
          <w:lang w:val="es-419"/>
        </w:rPr>
      </w:pPr>
      <w:bookmarkStart w:id="65" w:name="_Toc113003298"/>
      <w:bookmarkStart w:id="66" w:name="_Toc113024423"/>
      <w:bookmarkStart w:id="67" w:name="_Toc117501955"/>
      <w:r>
        <w:rPr>
          <w:b/>
          <w:bCs/>
          <w:lang w:val="es-ES"/>
        </w:rPr>
        <w:t>1.5.1</w:t>
      </w:r>
      <w:r>
        <w:rPr>
          <w:lang w:val="es-ES"/>
        </w:rPr>
        <w:tab/>
      </w:r>
      <w:r>
        <w:rPr>
          <w:b/>
          <w:bCs/>
          <w:lang w:val="es-ES"/>
        </w:rPr>
        <w:t>Requisitos técnicos</w:t>
      </w:r>
      <w:bookmarkEnd w:id="65"/>
      <w:bookmarkEnd w:id="66"/>
      <w:bookmarkEnd w:id="67"/>
    </w:p>
    <w:p w14:paraId="47743B4E" w14:textId="7795F0A0" w:rsidR="003E5D1B" w:rsidRPr="008357EA" w:rsidRDefault="00E26782">
      <w:pPr>
        <w:spacing w:after="240" w:line="240" w:lineRule="exact"/>
        <w:rPr>
          <w:rFonts w:eastAsiaTheme="minorEastAsia" w:cstheme="majorBidi"/>
          <w:color w:val="000000" w:themeColor="text1"/>
          <w:lang w:val="es-419"/>
        </w:rPr>
      </w:pPr>
      <w:r>
        <w:rPr>
          <w:lang w:val="es-ES"/>
        </w:rPr>
        <w:t xml:space="preserve">Las funciones del GDPFS dependen en gran medida del mantenimiento de modelos de análisis y predicción, de la computación de alto rendimiento para mantener un conjunto operativo de ejecuciones de modelos, de infraestructura de comunicación que permita incorporar y diseminar datos y, sobre todo, de capital humano que </w:t>
      </w:r>
      <w:r w:rsidR="00C310C3">
        <w:rPr>
          <w:lang w:val="es-ES"/>
        </w:rPr>
        <w:t>maneje</w:t>
      </w:r>
      <w:r>
        <w:rPr>
          <w:lang w:val="es-ES"/>
        </w:rPr>
        <w:t xml:space="preserve"> y </w:t>
      </w:r>
      <w:r w:rsidR="00015541">
        <w:rPr>
          <w:lang w:val="es-ES"/>
        </w:rPr>
        <w:t>desarrolle</w:t>
      </w:r>
      <w:r>
        <w:rPr>
          <w:lang w:val="es-ES"/>
        </w:rPr>
        <w:t xml:space="preserve"> </w:t>
      </w:r>
      <w:r w:rsidR="00015541">
        <w:rPr>
          <w:lang w:val="es-ES"/>
        </w:rPr>
        <w:t xml:space="preserve">los </w:t>
      </w:r>
      <w:r>
        <w:rPr>
          <w:lang w:val="es-ES"/>
        </w:rPr>
        <w:t>modelos</w:t>
      </w:r>
      <w:r w:rsidR="00015541">
        <w:rPr>
          <w:lang w:val="es-ES"/>
        </w:rPr>
        <w:t xml:space="preserve"> y </w:t>
      </w:r>
      <w:r>
        <w:rPr>
          <w:lang w:val="es-ES"/>
        </w:rPr>
        <w:t xml:space="preserve">la infraestructura informática asociada. </w:t>
      </w:r>
    </w:p>
    <w:p w14:paraId="511406F6" w14:textId="2D22F82D" w:rsidR="003E5D1B" w:rsidRPr="008357EA" w:rsidRDefault="00E26782">
      <w:pPr>
        <w:spacing w:after="240" w:line="240" w:lineRule="exact"/>
        <w:rPr>
          <w:rFonts w:eastAsiaTheme="minorEastAsia" w:cstheme="majorBidi"/>
          <w:color w:val="000000" w:themeColor="text1"/>
          <w:lang w:val="es-419"/>
        </w:rPr>
      </w:pPr>
      <w:r>
        <w:rPr>
          <w:lang w:val="es-ES"/>
        </w:rPr>
        <w:t xml:space="preserve">Los modelos mundiales necesitan recursos que les permitan asimilar los datos de todos los componentes del sistema Tierra, y una infraestructura de telecomunicaciones que les permita importar los volúmenes necesarios de </w:t>
      </w:r>
      <w:r w:rsidR="00086A91">
        <w:rPr>
          <w:lang w:val="es-ES"/>
        </w:rPr>
        <w:t>datos observacionales</w:t>
      </w:r>
      <w:r>
        <w:rPr>
          <w:lang w:val="es-ES"/>
        </w:rPr>
        <w:t xml:space="preserve">, sobre todo de los obtenidos por satélite. Se necesitan supercomputadoras de alto rendimiento para mantener un conjunto operativo de ejecuciones en el momento oportuno, y una plantilla amplia y experta de científicos e informáticos para crear y mantener de forma segura un sistema </w:t>
      </w:r>
      <w:r w:rsidR="008A44C5">
        <w:rPr>
          <w:lang w:val="es-ES"/>
        </w:rPr>
        <w:t>como ese</w:t>
      </w:r>
      <w:r>
        <w:rPr>
          <w:lang w:val="es-ES"/>
        </w:rPr>
        <w:t xml:space="preserve"> las 24 horas </w:t>
      </w:r>
      <w:r w:rsidR="008A44C5">
        <w:rPr>
          <w:lang w:val="es-ES"/>
        </w:rPr>
        <w:t>del</w:t>
      </w:r>
      <w:r>
        <w:rPr>
          <w:lang w:val="es-ES"/>
        </w:rPr>
        <w:t xml:space="preserve"> día, los 365 días </w:t>
      </w:r>
      <w:r w:rsidR="008A44C5">
        <w:rPr>
          <w:lang w:val="es-ES"/>
        </w:rPr>
        <w:t>del</w:t>
      </w:r>
      <w:r>
        <w:rPr>
          <w:lang w:val="es-ES"/>
        </w:rPr>
        <w:t xml:space="preserve"> año en un entorno operativo. Existen varios centros de ese </w:t>
      </w:r>
      <w:r w:rsidR="008A44C5">
        <w:rPr>
          <w:lang w:val="es-ES"/>
        </w:rPr>
        <w:t>tipo</w:t>
      </w:r>
      <w:r>
        <w:rPr>
          <w:lang w:val="es-ES"/>
        </w:rPr>
        <w:t xml:space="preserve"> en todo el </w:t>
      </w:r>
      <w:r>
        <w:rPr>
          <w:lang w:val="es-ES"/>
        </w:rPr>
        <w:lastRenderedPageBreak/>
        <w:t xml:space="preserve">mundo (algunos designados oficialmente como </w:t>
      </w:r>
      <w:r w:rsidR="00A95DEF">
        <w:rPr>
          <w:lang w:val="es-ES"/>
        </w:rPr>
        <w:t>CMM</w:t>
      </w:r>
      <w:r>
        <w:rPr>
          <w:lang w:val="es-ES"/>
        </w:rPr>
        <w:t xml:space="preserve">, cuando aceptan </w:t>
      </w:r>
      <w:r w:rsidR="008A44C5">
        <w:rPr>
          <w:lang w:val="es-ES"/>
        </w:rPr>
        <w:t>facilitar</w:t>
      </w:r>
      <w:r>
        <w:rPr>
          <w:lang w:val="es-ES"/>
        </w:rPr>
        <w:t xml:space="preserve"> sus datos y productos del modo en que se indica en el </w:t>
      </w:r>
      <w:r w:rsidR="002D6434" w:rsidRPr="002D6434">
        <w:rPr>
          <w:i/>
          <w:iCs/>
          <w:lang w:val="es-ES"/>
        </w:rPr>
        <w:t>Manual del Sistema Mundial de Proceso de Datos y de Predicción</w:t>
      </w:r>
      <w:r w:rsidR="008357EA">
        <w:rPr>
          <w:lang w:val="es-ES"/>
        </w:rPr>
        <w:t xml:space="preserve"> (</w:t>
      </w:r>
      <w:r w:rsidR="00EB4587">
        <w:rPr>
          <w:lang w:val="es-ES"/>
        </w:rPr>
        <w:t>OMM</w:t>
      </w:r>
      <w:r w:rsidR="00EB4587">
        <w:rPr>
          <w:lang w:val="es-ES"/>
        </w:rPr>
        <w:noBreakHyphen/>
        <w:t>Nº</w:t>
      </w:r>
      <w:r w:rsidR="0093047C">
        <w:rPr>
          <w:lang w:val="es-ES"/>
        </w:rPr>
        <w:t> </w:t>
      </w:r>
      <w:r w:rsidR="008357EA">
        <w:rPr>
          <w:lang w:val="es-ES"/>
        </w:rPr>
        <w:t>485)</w:t>
      </w:r>
      <w:r w:rsidR="00F874A8">
        <w:rPr>
          <w:lang w:val="es-ES"/>
        </w:rPr>
        <w:t>)</w:t>
      </w:r>
      <w:r>
        <w:rPr>
          <w:lang w:val="es-ES"/>
        </w:rPr>
        <w:t xml:space="preserve">. </w:t>
      </w:r>
    </w:p>
    <w:p w14:paraId="085BED3A" w14:textId="2399E957" w:rsidR="003E5D1B" w:rsidRPr="008357EA" w:rsidRDefault="00E26782">
      <w:pPr>
        <w:spacing w:after="240" w:line="240" w:lineRule="exact"/>
        <w:rPr>
          <w:rFonts w:eastAsiaTheme="minorEastAsia" w:cstheme="majorBidi"/>
          <w:color w:val="000000" w:themeColor="text1"/>
          <w:lang w:val="es-419"/>
        </w:rPr>
      </w:pPr>
      <w:r>
        <w:rPr>
          <w:lang w:val="es-ES"/>
        </w:rPr>
        <w:t xml:space="preserve">La ejecución eficaz de los modelos regionales (de área limitada) también exige un nivel de conocimientos científicos y técnicos similar al de los modelos mundiales. Si bien es posible obtener y ejecutar códigos estándares de modelos con relativa facilidad, ejecutarlos en un sistema operativo eficaz destinado a obtener predicciones que mejoren las que provienen de los modelos mundiales exige un proceso y una asimilación de las observaciones locales que sea de alta calidad. Las condiciones de contorno laterales deben obtenerse de los centros que ejecutan modelos mundiales, pero los errores inherentes que se introducen al transmitir datos a través del contorno de un modelo llevan a que solo se obtengan beneficios significativos si el modelo regional se puede ejecutar con una resolución mucho mayor que </w:t>
      </w:r>
      <w:r w:rsidR="00F874A8">
        <w:rPr>
          <w:lang w:val="es-ES"/>
        </w:rPr>
        <w:t>la del</w:t>
      </w:r>
      <w:r>
        <w:rPr>
          <w:lang w:val="es-ES"/>
        </w:rPr>
        <w:t xml:space="preserve"> modelo mundial. También se observa que la resolución </w:t>
      </w:r>
      <w:r w:rsidR="00F874A8">
        <w:rPr>
          <w:lang w:val="es-ES"/>
        </w:rPr>
        <w:t xml:space="preserve">horizontal </w:t>
      </w:r>
      <w:r>
        <w:rPr>
          <w:lang w:val="es-ES"/>
        </w:rPr>
        <w:t>nativa de los modelos mundiales se acerca ya a los 10</w:t>
      </w:r>
      <w:r w:rsidR="00B11F3C">
        <w:rPr>
          <w:lang w:val="es-ES"/>
        </w:rPr>
        <w:t> km</w:t>
      </w:r>
      <w:r>
        <w:rPr>
          <w:lang w:val="es-ES"/>
        </w:rPr>
        <w:t xml:space="preserve">. Mantener y actualizar esos sistemas exige un compromiso a largo plazo de </w:t>
      </w:r>
      <w:r w:rsidR="00914FAE">
        <w:rPr>
          <w:lang w:val="es-ES"/>
        </w:rPr>
        <w:t>preservar</w:t>
      </w:r>
      <w:r>
        <w:rPr>
          <w:lang w:val="es-ES"/>
        </w:rPr>
        <w:t xml:space="preserve"> los conocimientos científicos y técnicos, así como una infraestructura compleja de recursos informáticos y telecomunicaciones de alto nivel. Retener a los científicos e informáticos altamente cualificados que se necesitan para ejecutar esos sistemas también puede ser un reto importante, ya que esas competencias son muy solicitadas por otros empleadores. </w:t>
      </w:r>
    </w:p>
    <w:p w14:paraId="49A88616" w14:textId="7C8A7AFE" w:rsidR="003E5D1B" w:rsidRPr="008357EA" w:rsidRDefault="00E26782">
      <w:pPr>
        <w:spacing w:after="240" w:line="240" w:lineRule="exact"/>
        <w:rPr>
          <w:rFonts w:eastAsiaTheme="minorEastAsia" w:cstheme="majorBidi"/>
          <w:color w:val="000000" w:themeColor="text1"/>
          <w:lang w:val="es-419"/>
        </w:rPr>
      </w:pPr>
      <w:r>
        <w:rPr>
          <w:lang w:val="es-ES"/>
        </w:rPr>
        <w:t xml:space="preserve">El GDPFS permite que los </w:t>
      </w:r>
      <w:r w:rsidR="00A95DEF">
        <w:rPr>
          <w:lang w:val="es-ES"/>
        </w:rPr>
        <w:t>CMM</w:t>
      </w:r>
      <w:r>
        <w:rPr>
          <w:lang w:val="es-ES"/>
        </w:rPr>
        <w:t xml:space="preserve"> y los </w:t>
      </w:r>
      <w:r w:rsidR="00A95DEF">
        <w:rPr>
          <w:lang w:val="es-ES"/>
        </w:rPr>
        <w:t>CMRE</w:t>
      </w:r>
      <w:r>
        <w:rPr>
          <w:lang w:val="es-ES"/>
        </w:rPr>
        <w:t xml:space="preserve"> presten esos servicios de predicción numérica del tiempo con eficiencia, y eso permite a los </w:t>
      </w:r>
      <w:r w:rsidR="006753E1">
        <w:rPr>
          <w:lang w:val="es-ES"/>
        </w:rPr>
        <w:t>CMN</w:t>
      </w:r>
      <w:r>
        <w:rPr>
          <w:lang w:val="es-ES"/>
        </w:rPr>
        <w:t xml:space="preserve"> centrar sus recursos en la verificación de las predicciones</w:t>
      </w:r>
      <w:r w:rsidR="00977CF7">
        <w:rPr>
          <w:lang w:val="es-ES"/>
        </w:rPr>
        <w:t>,</w:t>
      </w:r>
      <w:r>
        <w:rPr>
          <w:lang w:val="es-ES"/>
        </w:rPr>
        <w:t xml:space="preserve"> </w:t>
      </w:r>
      <w:r w:rsidR="00A449A7">
        <w:rPr>
          <w:lang w:val="es-ES"/>
        </w:rPr>
        <w:t>con la que se debe hacer</w:t>
      </w:r>
      <w:r w:rsidR="00977CF7">
        <w:rPr>
          <w:lang w:val="es-ES"/>
        </w:rPr>
        <w:t xml:space="preserve"> lo siguiente:</w:t>
      </w:r>
      <w:r>
        <w:rPr>
          <w:lang w:val="es-ES"/>
        </w:rPr>
        <w:t xml:space="preserve"> a) guiar el </w:t>
      </w:r>
      <w:r w:rsidR="00B645A6">
        <w:rPr>
          <w:lang w:val="es-ES"/>
        </w:rPr>
        <w:t>proceso posterior</w:t>
      </w:r>
      <w:r>
        <w:rPr>
          <w:lang w:val="es-ES"/>
        </w:rPr>
        <w:t xml:space="preserve">, la interpretación, y la emisión y comunicación de avisos, y b) transmitir retroinformación a los proveedores de predicciones, es decir, a los </w:t>
      </w:r>
      <w:r w:rsidR="00A95DEF">
        <w:rPr>
          <w:lang w:val="es-ES"/>
        </w:rPr>
        <w:t>CMM</w:t>
      </w:r>
      <w:r>
        <w:rPr>
          <w:lang w:val="es-ES"/>
        </w:rPr>
        <w:t xml:space="preserve"> y los </w:t>
      </w:r>
      <w:r w:rsidR="00A95DEF">
        <w:rPr>
          <w:lang w:val="es-ES"/>
        </w:rPr>
        <w:t>CMRE</w:t>
      </w:r>
      <w:r>
        <w:rPr>
          <w:lang w:val="es-ES"/>
        </w:rPr>
        <w:t>.</w:t>
      </w:r>
    </w:p>
    <w:p w14:paraId="612CE6C9" w14:textId="58714AF1" w:rsidR="003E5D1B" w:rsidRPr="008357EA" w:rsidRDefault="00E26782">
      <w:pPr>
        <w:keepNext/>
        <w:spacing w:before="240" w:after="240" w:line="240" w:lineRule="exact"/>
        <w:ind w:left="1123" w:hanging="1123"/>
        <w:jc w:val="left"/>
        <w:outlineLvl w:val="4"/>
        <w:rPr>
          <w:b/>
          <w:bCs/>
          <w:color w:val="000000" w:themeColor="text1"/>
          <w:lang w:val="es-419"/>
        </w:rPr>
      </w:pPr>
      <w:bookmarkStart w:id="68" w:name="_Toc113003299"/>
      <w:bookmarkStart w:id="69" w:name="_Toc113024424"/>
      <w:bookmarkStart w:id="70" w:name="_Toc117501956"/>
      <w:r>
        <w:rPr>
          <w:b/>
          <w:bCs/>
          <w:lang w:val="es-ES"/>
        </w:rPr>
        <w:t>1.5.2</w:t>
      </w:r>
      <w:r>
        <w:rPr>
          <w:lang w:val="es-ES"/>
        </w:rPr>
        <w:tab/>
      </w:r>
      <w:r>
        <w:rPr>
          <w:b/>
          <w:bCs/>
          <w:lang w:val="es-ES"/>
        </w:rPr>
        <w:t>Competencias del personal</w:t>
      </w:r>
      <w:bookmarkEnd w:id="68"/>
      <w:bookmarkEnd w:id="69"/>
      <w:bookmarkEnd w:id="70"/>
    </w:p>
    <w:p w14:paraId="129EA356" w14:textId="0BDC1C1E" w:rsidR="003E5D1B" w:rsidRPr="008357EA" w:rsidRDefault="00E26782">
      <w:pPr>
        <w:spacing w:after="240" w:line="240" w:lineRule="exact"/>
        <w:rPr>
          <w:rFonts w:eastAsiaTheme="minorEastAsia" w:cstheme="majorBidi"/>
          <w:color w:val="000000" w:themeColor="text1"/>
          <w:lang w:val="es-419"/>
        </w:rPr>
      </w:pPr>
      <w:r>
        <w:rPr>
          <w:lang w:val="es-ES"/>
        </w:rPr>
        <w:t xml:space="preserve">Conforme a lo que se recomienda en </w:t>
      </w:r>
      <w:r w:rsidR="00C035B8">
        <w:rPr>
          <w:lang w:val="es-ES"/>
        </w:rPr>
        <w:t>la parte V del Volumen I del</w:t>
      </w:r>
      <w:r>
        <w:rPr>
          <w:lang w:val="es-ES"/>
        </w:rPr>
        <w:t> </w:t>
      </w:r>
      <w:r w:rsidR="00AA4882" w:rsidRPr="00AA4882">
        <w:rPr>
          <w:i/>
          <w:iCs/>
          <w:lang w:val="es-ES"/>
        </w:rPr>
        <w:t>Reglamento Técnico</w:t>
      </w:r>
      <w:r w:rsidR="00AA4882">
        <w:rPr>
          <w:lang w:val="es-ES"/>
        </w:rPr>
        <w:t xml:space="preserve"> (OMM</w:t>
      </w:r>
      <w:r w:rsidR="00EB4587">
        <w:rPr>
          <w:lang w:val="es-ES"/>
        </w:rPr>
        <w:noBreakHyphen/>
        <w:t>Nº</w:t>
      </w:r>
      <w:r w:rsidR="0093047C">
        <w:rPr>
          <w:lang w:val="es-ES"/>
        </w:rPr>
        <w:t> </w:t>
      </w:r>
      <w:r>
        <w:rPr>
          <w:lang w:val="es-ES"/>
        </w:rPr>
        <w:t xml:space="preserve">49), que se refiere a las calificaciones y competencias del personal que participa en la prestación de servicios meteorológicos (tiempo y clima), hidrológicos, marinos y aeronáuticos, los centros deberían asegurarse de tener acceso a personal suficiente que, en conjunto, posea los niveles necesarios de las competencias afines al GDPFS que se definen en el apéndice 1.5.2 de la presente </w:t>
      </w:r>
      <w:r w:rsidR="00C035B8" w:rsidRPr="00C035B8">
        <w:rPr>
          <w:lang w:val="es-ES"/>
        </w:rPr>
        <w:t>Guía</w:t>
      </w:r>
      <w:r>
        <w:rPr>
          <w:lang w:val="es-ES"/>
        </w:rPr>
        <w:t xml:space="preserve">. Esas competencias </w:t>
      </w:r>
      <w:r w:rsidR="00C035B8">
        <w:rPr>
          <w:lang w:val="es-ES"/>
        </w:rPr>
        <w:t>se ajustan en su totalidad</w:t>
      </w:r>
      <w:r>
        <w:rPr>
          <w:lang w:val="es-ES"/>
        </w:rPr>
        <w:t xml:space="preserve"> </w:t>
      </w:r>
      <w:r w:rsidR="00C035B8">
        <w:rPr>
          <w:lang w:val="es-ES"/>
        </w:rPr>
        <w:t>a</w:t>
      </w:r>
      <w:r>
        <w:rPr>
          <w:lang w:val="es-ES"/>
        </w:rPr>
        <w:t xml:space="preserve"> las orientaciones que se brindan en la </w:t>
      </w:r>
      <w:r w:rsidR="00C035B8" w:rsidRPr="00C035B8">
        <w:rPr>
          <w:i/>
          <w:iCs/>
          <w:lang w:val="es-ES"/>
        </w:rPr>
        <w:t>Guía sobre competencias de la OMM</w:t>
      </w:r>
      <w:r>
        <w:rPr>
          <w:lang w:val="es-ES"/>
        </w:rPr>
        <w:t xml:space="preserve"> (</w:t>
      </w:r>
      <w:r w:rsidR="00EB4587">
        <w:rPr>
          <w:lang w:val="es-ES"/>
        </w:rPr>
        <w:t>OMM</w:t>
      </w:r>
      <w:r w:rsidR="00EB4587">
        <w:rPr>
          <w:lang w:val="es-ES"/>
        </w:rPr>
        <w:noBreakHyphen/>
        <w:t>Nº</w:t>
      </w:r>
      <w:r w:rsidR="0093047C">
        <w:rPr>
          <w:lang w:val="es-ES"/>
        </w:rPr>
        <w:t> </w:t>
      </w:r>
      <w:r>
        <w:rPr>
          <w:lang w:val="es-ES"/>
        </w:rPr>
        <w:t>1205).</w:t>
      </w:r>
    </w:p>
    <w:p w14:paraId="6AECC673" w14:textId="4E894B2E" w:rsidR="003E5D1B" w:rsidRPr="008357EA" w:rsidRDefault="00E26782">
      <w:pPr>
        <w:keepNext/>
        <w:tabs>
          <w:tab w:val="clear" w:pos="1134"/>
        </w:tabs>
        <w:spacing w:before="480" w:after="200" w:line="276" w:lineRule="auto"/>
        <w:ind w:left="1123" w:hanging="1123"/>
        <w:jc w:val="left"/>
        <w:outlineLvl w:val="3"/>
        <w:rPr>
          <w:rFonts w:eastAsiaTheme="minorHAnsi" w:cstheme="majorBidi"/>
          <w:b/>
          <w:bCs/>
          <w:caps/>
          <w:color w:val="000000" w:themeColor="text1"/>
          <w:lang w:val="es-419"/>
        </w:rPr>
      </w:pPr>
      <w:bookmarkStart w:id="71" w:name="_Toc113003300"/>
      <w:bookmarkStart w:id="72" w:name="_Toc113024425"/>
      <w:bookmarkStart w:id="73" w:name="_Toc117501957"/>
      <w:r>
        <w:rPr>
          <w:b/>
          <w:bCs/>
          <w:lang w:val="es-ES"/>
        </w:rPr>
        <w:t>1.6</w:t>
      </w:r>
      <w:r>
        <w:rPr>
          <w:lang w:val="es-ES"/>
        </w:rPr>
        <w:tab/>
      </w:r>
      <w:r w:rsidR="0024666E">
        <w:rPr>
          <w:b/>
          <w:bCs/>
          <w:lang w:val="es-ES"/>
        </w:rPr>
        <w:t xml:space="preserve">ALINEACIÓN CON LAS FUNCIONES </w:t>
      </w:r>
      <w:r w:rsidR="000D35F6">
        <w:rPr>
          <w:b/>
          <w:bCs/>
          <w:lang w:val="es-ES"/>
        </w:rPr>
        <w:t>AFINES</w:t>
      </w:r>
      <w:r w:rsidR="0024666E">
        <w:rPr>
          <w:b/>
          <w:bCs/>
          <w:lang w:val="es-ES"/>
        </w:rPr>
        <w:t xml:space="preserve"> </w:t>
      </w:r>
      <w:r w:rsidR="000D35F6">
        <w:rPr>
          <w:b/>
          <w:bCs/>
          <w:lang w:val="es-ES"/>
        </w:rPr>
        <w:t>D</w:t>
      </w:r>
      <w:r w:rsidR="0024666E">
        <w:rPr>
          <w:b/>
          <w:bCs/>
          <w:lang w:val="es-ES"/>
        </w:rPr>
        <w:t>EL SISTEMA DE INFORMACIÓN DE LA OMM</w:t>
      </w:r>
      <w:r w:rsidR="0024666E">
        <w:rPr>
          <w:lang w:val="es-ES"/>
        </w:rPr>
        <w:t xml:space="preserve"> </w:t>
      </w:r>
      <w:bookmarkEnd w:id="71"/>
      <w:bookmarkEnd w:id="72"/>
      <w:bookmarkEnd w:id="73"/>
    </w:p>
    <w:p w14:paraId="18860A10" w14:textId="7BB432E7" w:rsidR="003E5D1B" w:rsidRPr="008357EA" w:rsidRDefault="00E26782">
      <w:pPr>
        <w:spacing w:after="240" w:line="240" w:lineRule="exact"/>
        <w:rPr>
          <w:rFonts w:eastAsiaTheme="minorEastAsia"/>
          <w:color w:val="000000" w:themeColor="text1"/>
          <w:lang w:val="es-419"/>
        </w:rPr>
      </w:pPr>
      <w:r>
        <w:rPr>
          <w:lang w:val="es-ES"/>
        </w:rPr>
        <w:t xml:space="preserve">El intercambio de información entre los </w:t>
      </w:r>
      <w:r w:rsidR="00B3784C">
        <w:rPr>
          <w:lang w:val="es-ES"/>
        </w:rPr>
        <w:t>centros del GDPFS</w:t>
      </w:r>
      <w:r>
        <w:rPr>
          <w:lang w:val="es-ES"/>
        </w:rPr>
        <w:t xml:space="preserve"> se realizará a través del Sistema de Información de la OMM (WIS)</w:t>
      </w:r>
      <w:r w:rsidR="000D35F6">
        <w:rPr>
          <w:lang w:val="es-ES"/>
        </w:rPr>
        <w:t>,</w:t>
      </w:r>
      <w:r>
        <w:rPr>
          <w:lang w:val="es-ES"/>
        </w:rPr>
        <w:t xml:space="preserve"> de conformidad con las normas que se definen en el </w:t>
      </w:r>
      <w:r>
        <w:rPr>
          <w:i/>
          <w:iCs/>
          <w:lang w:val="es-ES"/>
        </w:rPr>
        <w:t xml:space="preserve">Manual del Sistema de </w:t>
      </w:r>
      <w:r w:rsidR="00CA1DA5">
        <w:rPr>
          <w:i/>
          <w:iCs/>
          <w:lang w:val="es-ES"/>
        </w:rPr>
        <w:t>I</w:t>
      </w:r>
      <w:r>
        <w:rPr>
          <w:i/>
          <w:iCs/>
          <w:lang w:val="es-ES"/>
        </w:rPr>
        <w:t>nformación de la OMM</w:t>
      </w:r>
      <w:r>
        <w:rPr>
          <w:lang w:val="es-ES"/>
        </w:rPr>
        <w:t xml:space="preserve"> (</w:t>
      </w:r>
      <w:r w:rsidR="00EB4587">
        <w:rPr>
          <w:lang w:val="es-ES"/>
        </w:rPr>
        <w:t>OMM</w:t>
      </w:r>
      <w:r w:rsidR="00EB4587">
        <w:rPr>
          <w:lang w:val="es-ES"/>
        </w:rPr>
        <w:noBreakHyphen/>
        <w:t>Nº</w:t>
      </w:r>
      <w:r w:rsidR="0093047C">
        <w:rPr>
          <w:lang w:val="es-ES"/>
        </w:rPr>
        <w:t> </w:t>
      </w:r>
      <w:r>
        <w:rPr>
          <w:lang w:val="es-ES"/>
        </w:rPr>
        <w:t xml:space="preserve">1060) y que se detallan en la </w:t>
      </w:r>
      <w:r w:rsidR="00453681" w:rsidRPr="00453681">
        <w:rPr>
          <w:i/>
          <w:iCs/>
          <w:lang w:val="es-ES"/>
        </w:rPr>
        <w:t>Guía del Sistema de Información de la OMM</w:t>
      </w:r>
      <w:r w:rsidR="00453681">
        <w:rPr>
          <w:lang w:val="es-ES"/>
        </w:rPr>
        <w:t xml:space="preserve"> (OMM</w:t>
      </w:r>
      <w:r w:rsidR="00EB4587">
        <w:rPr>
          <w:lang w:val="es-ES"/>
        </w:rPr>
        <w:noBreakHyphen/>
        <w:t>Nº</w:t>
      </w:r>
      <w:r w:rsidR="0093047C">
        <w:rPr>
          <w:lang w:val="es-ES"/>
        </w:rPr>
        <w:t> </w:t>
      </w:r>
      <w:r>
        <w:rPr>
          <w:lang w:val="es-ES"/>
        </w:rPr>
        <w:t xml:space="preserve">1061). Los </w:t>
      </w:r>
      <w:r w:rsidR="00B3784C">
        <w:rPr>
          <w:lang w:val="es-ES"/>
        </w:rPr>
        <w:t>centros del GDPFS</w:t>
      </w:r>
      <w:r>
        <w:rPr>
          <w:lang w:val="es-ES"/>
        </w:rPr>
        <w:t xml:space="preserve"> se asegurarán de que los productos y servicios convenidos estén disponibles a través del </w:t>
      </w:r>
      <w:r w:rsidR="001C5219">
        <w:rPr>
          <w:lang w:val="es-ES"/>
        </w:rPr>
        <w:t>WIS</w:t>
      </w:r>
      <w:r>
        <w:rPr>
          <w:lang w:val="es-ES"/>
        </w:rPr>
        <w:t xml:space="preserve"> de manera oportuna para que sean utilizados en tiempo real.</w:t>
      </w:r>
    </w:p>
    <w:p w14:paraId="693CCB05" w14:textId="242C73C9" w:rsidR="003E5D1B" w:rsidRPr="008357EA" w:rsidRDefault="00E26782">
      <w:pPr>
        <w:spacing w:after="240" w:line="240" w:lineRule="exact"/>
        <w:rPr>
          <w:rFonts w:eastAsiaTheme="minorEastAsia"/>
          <w:color w:val="000000" w:themeColor="text1"/>
          <w:lang w:val="es-419"/>
        </w:rPr>
      </w:pPr>
      <w:r>
        <w:rPr>
          <w:lang w:val="es-ES"/>
        </w:rPr>
        <w:t xml:space="preserve">El GDPFS debería ofrecer los siguientes servicios a través del </w:t>
      </w:r>
      <w:r w:rsidR="001C5219">
        <w:rPr>
          <w:lang w:val="es-ES"/>
        </w:rPr>
        <w:t>WIS</w:t>
      </w:r>
      <w:r>
        <w:rPr>
          <w:lang w:val="es-ES"/>
        </w:rPr>
        <w:t>:</w:t>
      </w:r>
    </w:p>
    <w:p w14:paraId="5C457C65" w14:textId="1C3B296A" w:rsidR="003E5D1B" w:rsidRPr="008357EA" w:rsidRDefault="00E26782">
      <w:pPr>
        <w:tabs>
          <w:tab w:val="clear" w:pos="1134"/>
          <w:tab w:val="left" w:pos="960"/>
        </w:tabs>
        <w:spacing w:after="240" w:line="240" w:lineRule="exact"/>
        <w:ind w:left="950" w:hanging="475"/>
        <w:rPr>
          <w:color w:val="000000" w:themeColor="text1"/>
          <w:szCs w:val="22"/>
          <w:lang w:val="es-419"/>
        </w:rPr>
      </w:pPr>
      <w:r>
        <w:rPr>
          <w:lang w:val="es-ES"/>
        </w:rPr>
        <w:t>a)</w:t>
      </w:r>
      <w:r>
        <w:rPr>
          <w:lang w:val="es-ES"/>
        </w:rPr>
        <w:tab/>
        <w:t xml:space="preserve">Suministro de catálogos de datos y productos actualizados de forma continua, con metadatos asociados que permitan buscar, recuperar y archivar. </w:t>
      </w:r>
    </w:p>
    <w:p w14:paraId="70C21903" w14:textId="657271D2" w:rsidR="003E5D1B" w:rsidRPr="008357EA" w:rsidRDefault="00E26782">
      <w:pPr>
        <w:tabs>
          <w:tab w:val="clear" w:pos="1134"/>
          <w:tab w:val="left" w:pos="960"/>
        </w:tabs>
        <w:spacing w:after="240" w:line="240" w:lineRule="exact"/>
        <w:ind w:left="960" w:hanging="480"/>
        <w:rPr>
          <w:color w:val="000000" w:themeColor="text1"/>
          <w:szCs w:val="22"/>
          <w:lang w:val="es-419"/>
        </w:rPr>
      </w:pPr>
      <w:r>
        <w:rPr>
          <w:lang w:val="es-ES"/>
        </w:rPr>
        <w:t>b)</w:t>
      </w:r>
      <w:r>
        <w:rPr>
          <w:lang w:val="es-ES"/>
        </w:rPr>
        <w:tab/>
        <w:t xml:space="preserve">Acceso a los datos, los productos y los resultados de la intercomparación utilizando las normas del </w:t>
      </w:r>
      <w:r w:rsidR="001C5219">
        <w:rPr>
          <w:lang w:val="es-ES"/>
        </w:rPr>
        <w:t>WIS</w:t>
      </w:r>
      <w:r>
        <w:rPr>
          <w:lang w:val="es-ES"/>
        </w:rPr>
        <w:t xml:space="preserve"> y los metadatos del GDPFS (véase la </w:t>
      </w:r>
      <w:r w:rsidR="003C7A23">
        <w:rPr>
          <w:lang w:val="es-ES"/>
        </w:rPr>
        <w:t xml:space="preserve">sección 2.4 de la </w:t>
      </w:r>
      <w:r>
        <w:rPr>
          <w:lang w:val="es-ES"/>
        </w:rPr>
        <w:t>parte II).</w:t>
      </w:r>
    </w:p>
    <w:p w14:paraId="61467EA0" w14:textId="0B2A519D" w:rsidR="003E5D1B" w:rsidRPr="008357EA" w:rsidRDefault="00E26782">
      <w:pPr>
        <w:tabs>
          <w:tab w:val="clear" w:pos="1134"/>
          <w:tab w:val="left" w:pos="960"/>
        </w:tabs>
        <w:spacing w:after="240" w:line="240" w:lineRule="exact"/>
        <w:ind w:left="960" w:hanging="480"/>
        <w:rPr>
          <w:color w:val="000000" w:themeColor="text1"/>
          <w:szCs w:val="22"/>
          <w:lang w:val="es-419"/>
        </w:rPr>
      </w:pPr>
      <w:r>
        <w:rPr>
          <w:lang w:val="es-ES"/>
        </w:rPr>
        <w:t>c)</w:t>
      </w:r>
      <w:r>
        <w:rPr>
          <w:lang w:val="es-ES"/>
        </w:rPr>
        <w:tab/>
        <w:t xml:space="preserve">Los Miembros de la OMM son responsables de proporcionar información sobre las actividades en tiempo real </w:t>
      </w:r>
      <w:r w:rsidR="007D253E">
        <w:rPr>
          <w:lang w:val="es-ES"/>
        </w:rPr>
        <w:t xml:space="preserve">del GDPFS </w:t>
      </w:r>
      <w:r>
        <w:rPr>
          <w:lang w:val="es-ES"/>
        </w:rPr>
        <w:t xml:space="preserve">que llevan a cabo. Los Miembros proporcionarán </w:t>
      </w:r>
      <w:r>
        <w:rPr>
          <w:lang w:val="es-ES"/>
        </w:rPr>
        <w:lastRenderedPageBreak/>
        <w:t>y mantendrán documentación actualizada sobre su sistema y sus productos, a la que se podrá acceder en el sitio web de su centro o centros.</w:t>
      </w:r>
    </w:p>
    <w:p w14:paraId="6874A7C0" w14:textId="5786FDF4" w:rsidR="003E5D1B" w:rsidRPr="008357EA" w:rsidRDefault="00E26782">
      <w:pPr>
        <w:spacing w:after="240" w:line="240" w:lineRule="exact"/>
        <w:rPr>
          <w:rFonts w:eastAsiaTheme="minorEastAsia" w:cstheme="majorBidi"/>
          <w:color w:val="000000" w:themeColor="text1"/>
          <w:lang w:val="es-419"/>
        </w:rPr>
      </w:pPr>
      <w:r>
        <w:rPr>
          <w:lang w:val="es-ES"/>
        </w:rPr>
        <w:t xml:space="preserve">Las funciones y el funcionamiento del </w:t>
      </w:r>
      <w:r w:rsidR="00086A91">
        <w:rPr>
          <w:lang w:val="es-ES"/>
        </w:rPr>
        <w:t>GDPFS</w:t>
      </w:r>
      <w:r>
        <w:rPr>
          <w:lang w:val="es-ES"/>
        </w:rPr>
        <w:t xml:space="preserve"> se basan en los catálogos que los Miembros que administran CMM, CMRE y redes de CMRE </w:t>
      </w:r>
      <w:r w:rsidR="007D253E">
        <w:rPr>
          <w:lang w:val="es-ES"/>
        </w:rPr>
        <w:t xml:space="preserve">proporcionan </w:t>
      </w:r>
      <w:r>
        <w:rPr>
          <w:lang w:val="es-ES"/>
        </w:rPr>
        <w:t xml:space="preserve">en su sitio web. En los catálogos se deberían indicar las características técnicas de los productos y sistemas operativos que dichos centros </w:t>
      </w:r>
      <w:r w:rsidR="007D253E">
        <w:rPr>
          <w:lang w:val="es-ES"/>
        </w:rPr>
        <w:t xml:space="preserve">suministran </w:t>
      </w:r>
      <w:r>
        <w:rPr>
          <w:lang w:val="es-ES"/>
        </w:rPr>
        <w:t xml:space="preserve">en </w:t>
      </w:r>
      <w:r w:rsidR="00A55C62">
        <w:rPr>
          <w:lang w:val="es-ES"/>
        </w:rPr>
        <w:t>toda</w:t>
      </w:r>
      <w:r>
        <w:rPr>
          <w:lang w:val="es-ES"/>
        </w:rPr>
        <w:t xml:space="preserve"> la OMM, así como los metadatos que describen opciones de difusión y acceso como parte del WIS.</w:t>
      </w:r>
    </w:p>
    <w:p w14:paraId="5E54529B" w14:textId="6201424D" w:rsidR="003E5D1B" w:rsidRPr="008357EA" w:rsidRDefault="00E26782">
      <w:pPr>
        <w:keepNext/>
        <w:tabs>
          <w:tab w:val="clear" w:pos="1134"/>
        </w:tabs>
        <w:spacing w:before="480" w:after="200" w:line="276" w:lineRule="auto"/>
        <w:ind w:left="1123" w:hanging="1123"/>
        <w:jc w:val="left"/>
        <w:outlineLvl w:val="3"/>
        <w:rPr>
          <w:rFonts w:eastAsiaTheme="minorHAnsi" w:cstheme="majorBidi"/>
          <w:b/>
          <w:bCs/>
          <w:caps/>
          <w:color w:val="000000" w:themeColor="text1"/>
          <w:lang w:val="es-419"/>
        </w:rPr>
      </w:pPr>
      <w:bookmarkStart w:id="74" w:name="_Toc113003301"/>
      <w:bookmarkStart w:id="75" w:name="_Toc113024426"/>
      <w:bookmarkStart w:id="76" w:name="_Toc117501958"/>
      <w:r>
        <w:rPr>
          <w:b/>
          <w:bCs/>
          <w:lang w:val="es-ES"/>
        </w:rPr>
        <w:t>1.7</w:t>
      </w:r>
      <w:r>
        <w:rPr>
          <w:lang w:val="es-ES"/>
        </w:rPr>
        <w:tab/>
      </w:r>
      <w:r w:rsidR="007B309C">
        <w:rPr>
          <w:b/>
          <w:bCs/>
          <w:lang w:val="es-ES"/>
        </w:rPr>
        <w:t xml:space="preserve">ALINEACIÓN CON LAS FUNCIONES </w:t>
      </w:r>
      <w:r w:rsidR="00A55C62">
        <w:rPr>
          <w:b/>
          <w:bCs/>
          <w:lang w:val="es-ES"/>
        </w:rPr>
        <w:t>AFINES D</w:t>
      </w:r>
      <w:r w:rsidR="007B309C">
        <w:rPr>
          <w:b/>
          <w:bCs/>
          <w:lang w:val="es-ES"/>
        </w:rPr>
        <w:t>EL SISTEMA MUNDIAL INTEGRADO DE SISTEMAS DE OBSERVACIÓN DE LA OMM</w:t>
      </w:r>
      <w:bookmarkEnd w:id="74"/>
      <w:bookmarkEnd w:id="75"/>
      <w:bookmarkEnd w:id="76"/>
    </w:p>
    <w:p w14:paraId="63F1E6B0" w14:textId="6E80E8F1" w:rsidR="003E5D1B" w:rsidRPr="008357EA" w:rsidRDefault="00E26782">
      <w:pPr>
        <w:spacing w:after="240" w:line="240" w:lineRule="exact"/>
        <w:rPr>
          <w:rFonts w:eastAsia="Times New Roman" w:cs="Courier New"/>
          <w:color w:val="000000"/>
          <w:lang w:val="es-419"/>
        </w:rPr>
      </w:pPr>
      <w:r>
        <w:rPr>
          <w:lang w:val="es-ES"/>
        </w:rPr>
        <w:t xml:space="preserve">La predicción </w:t>
      </w:r>
      <w:r w:rsidR="0076566D">
        <w:rPr>
          <w:lang w:val="es-ES"/>
        </w:rPr>
        <w:t>del tiempo</w:t>
      </w:r>
      <w:r>
        <w:rPr>
          <w:lang w:val="es-ES"/>
        </w:rPr>
        <w:t xml:space="preserve"> </w:t>
      </w:r>
      <w:r w:rsidR="009A505B">
        <w:rPr>
          <w:lang w:val="es-ES"/>
        </w:rPr>
        <w:t>da lugar a</w:t>
      </w:r>
      <w:r>
        <w:rPr>
          <w:lang w:val="es-ES"/>
        </w:rPr>
        <w:t xml:space="preserve"> beneficios sociales</w:t>
      </w:r>
      <w:r w:rsidR="009A505B" w:rsidRPr="009A505B">
        <w:rPr>
          <w:lang w:val="es-ES"/>
        </w:rPr>
        <w:t xml:space="preserve"> </w:t>
      </w:r>
      <w:r w:rsidR="009A505B">
        <w:rPr>
          <w:lang w:val="es-ES"/>
        </w:rPr>
        <w:t>importantes</w:t>
      </w:r>
      <w:r>
        <w:rPr>
          <w:lang w:val="es-ES"/>
        </w:rPr>
        <w:t xml:space="preserve">, que </w:t>
      </w:r>
      <w:r w:rsidR="000379F3">
        <w:rPr>
          <w:lang w:val="es-ES"/>
        </w:rPr>
        <w:t xml:space="preserve">se </w:t>
      </w:r>
      <w:r>
        <w:rPr>
          <w:lang w:val="es-ES"/>
        </w:rPr>
        <w:t xml:space="preserve">pueden incrementar </w:t>
      </w:r>
      <w:r w:rsidR="0076566D">
        <w:rPr>
          <w:lang w:val="es-ES"/>
        </w:rPr>
        <w:t xml:space="preserve">mejorando la vigilancia, la modelización y la computación meteorológicas, y </w:t>
      </w:r>
      <w:r w:rsidR="000379F3">
        <w:rPr>
          <w:lang w:val="es-ES"/>
        </w:rPr>
        <w:t>aumentan</w:t>
      </w:r>
      <w:r w:rsidR="0076566D">
        <w:rPr>
          <w:lang w:val="es-ES"/>
        </w:rPr>
        <w:t>do con ello</w:t>
      </w:r>
      <w:r>
        <w:rPr>
          <w:lang w:val="es-ES"/>
        </w:rPr>
        <w:t xml:space="preserve"> la exactitud y el tiempo de antelació</w:t>
      </w:r>
      <w:r w:rsidR="0076566D">
        <w:rPr>
          <w:lang w:val="es-ES"/>
        </w:rPr>
        <w:t>n</w:t>
      </w:r>
      <w:r>
        <w:rPr>
          <w:lang w:val="es-ES"/>
        </w:rPr>
        <w:t xml:space="preserve">. La predicción se basa en la predicción numérica del tiempo, que depende en gran medida de la disponibilidad de observaciones meteorológicas, entre las cuales las </w:t>
      </w:r>
      <w:r w:rsidR="004257B8">
        <w:rPr>
          <w:lang w:val="es-ES"/>
        </w:rPr>
        <w:t xml:space="preserve">espaciales son las </w:t>
      </w:r>
      <w:r>
        <w:rPr>
          <w:lang w:val="es-ES"/>
        </w:rPr>
        <w:t xml:space="preserve">más abundantes. Las observaciones en superficie y en altitud también contribuyen sustancialmente al rendimiento de la predicción numérica del tiempo. Por lo tanto, la disponibilidad y el intercambio de </w:t>
      </w:r>
      <w:r w:rsidR="00086A91">
        <w:rPr>
          <w:lang w:val="es-ES"/>
        </w:rPr>
        <w:t>datos observacionales</w:t>
      </w:r>
      <w:r>
        <w:rPr>
          <w:lang w:val="es-ES"/>
        </w:rPr>
        <w:t xml:space="preserve"> regulados mediante el </w:t>
      </w:r>
      <w:r w:rsidR="004257B8" w:rsidRPr="004257B8">
        <w:rPr>
          <w:i/>
          <w:iCs/>
          <w:lang w:val="es-ES"/>
        </w:rPr>
        <w:t>Manual del Sistema Mundial Integrado de Sistemas de Observación de la OMM</w:t>
      </w:r>
      <w:r>
        <w:rPr>
          <w:lang w:val="es-ES"/>
        </w:rPr>
        <w:t xml:space="preserve"> (OMM-N° 1160) son fundamentales para mejorar las funciones del GDPFS.</w:t>
      </w:r>
    </w:p>
    <w:p w14:paraId="522BDABC" w14:textId="3E67C1B7" w:rsidR="003E5D1B" w:rsidRPr="008357EA" w:rsidRDefault="00E26782">
      <w:pPr>
        <w:spacing w:after="240" w:line="240" w:lineRule="exact"/>
        <w:rPr>
          <w:rFonts w:eastAsia="Times New Roman" w:cs="Times New Roman"/>
          <w:color w:val="000000" w:themeColor="text1"/>
          <w:sz w:val="24"/>
          <w:szCs w:val="24"/>
          <w:lang w:val="es-419"/>
        </w:rPr>
      </w:pPr>
      <w:r>
        <w:rPr>
          <w:lang w:val="es-ES"/>
        </w:rPr>
        <w:t xml:space="preserve">Los centros del GDPFS, en particular algunos </w:t>
      </w:r>
      <w:r w:rsidR="00A95DEF">
        <w:rPr>
          <w:lang w:val="es-ES"/>
        </w:rPr>
        <w:t>CMM</w:t>
      </w:r>
      <w:r>
        <w:rPr>
          <w:lang w:val="es-ES"/>
        </w:rPr>
        <w:t xml:space="preserve"> y </w:t>
      </w:r>
      <w:r w:rsidR="00A95DEF">
        <w:rPr>
          <w:lang w:val="es-ES"/>
        </w:rPr>
        <w:t>CMRE</w:t>
      </w:r>
      <w:r>
        <w:rPr>
          <w:lang w:val="es-ES"/>
        </w:rPr>
        <w:t xml:space="preserve">, también llevan a cabo actividades operativas relacionadas con el Sistema de Control de la Calidad de los Datos del </w:t>
      </w:r>
      <w:r w:rsidR="002368F9" w:rsidRPr="002368F9">
        <w:rPr>
          <w:lang w:val="es-ES"/>
        </w:rPr>
        <w:t xml:space="preserve">Sistema Mundial Integrado de Sistemas de Observación de la OMM </w:t>
      </w:r>
      <w:r w:rsidR="002368F9">
        <w:rPr>
          <w:lang w:val="es-ES"/>
        </w:rPr>
        <w:t>(</w:t>
      </w:r>
      <w:r>
        <w:rPr>
          <w:lang w:val="es-ES"/>
        </w:rPr>
        <w:t>WIGOS</w:t>
      </w:r>
      <w:r w:rsidR="002368F9">
        <w:rPr>
          <w:lang w:val="es-ES"/>
        </w:rPr>
        <w:t>)</w:t>
      </w:r>
      <w:r>
        <w:rPr>
          <w:lang w:val="es-ES"/>
        </w:rPr>
        <w:t xml:space="preserve">, concretamente con la función </w:t>
      </w:r>
      <w:r w:rsidR="002368F9">
        <w:rPr>
          <w:lang w:val="es-ES"/>
        </w:rPr>
        <w:t>del WIGOS destinada a controlar</w:t>
      </w:r>
      <w:r>
        <w:rPr>
          <w:lang w:val="es-ES"/>
        </w:rPr>
        <w:t xml:space="preserve"> la calidad de los </w:t>
      </w:r>
      <w:r w:rsidR="00086A91">
        <w:rPr>
          <w:lang w:val="es-ES"/>
        </w:rPr>
        <w:t>datos observacionales</w:t>
      </w:r>
      <w:r>
        <w:rPr>
          <w:lang w:val="es-ES"/>
        </w:rPr>
        <w:t xml:space="preserve"> a través de los sistemas de asimilación de datos de la predicción numérica del tiempo. Ese proceso se describe en las </w:t>
      </w:r>
      <w:r w:rsidR="002368F9" w:rsidRPr="002368F9">
        <w:rPr>
          <w:i/>
          <w:iCs/>
          <w:lang w:val="es-ES"/>
        </w:rPr>
        <w:t>Directrices técnicas para los Centros Regionales del WIGOS sobre el Sistema de Monitorización de la Calidad de los Datos del WIGOS</w:t>
      </w:r>
      <w:r>
        <w:rPr>
          <w:lang w:val="es-ES"/>
        </w:rPr>
        <w:t xml:space="preserve"> (</w:t>
      </w:r>
      <w:r w:rsidR="00EB4587">
        <w:rPr>
          <w:lang w:val="es-ES"/>
        </w:rPr>
        <w:t>OMM</w:t>
      </w:r>
      <w:r w:rsidR="00EB4587">
        <w:rPr>
          <w:lang w:val="es-ES"/>
        </w:rPr>
        <w:noBreakHyphen/>
        <w:t>Nº</w:t>
      </w:r>
      <w:r w:rsidR="0093047C">
        <w:rPr>
          <w:lang w:val="es-ES"/>
        </w:rPr>
        <w:t> </w:t>
      </w:r>
      <w:r>
        <w:rPr>
          <w:lang w:val="es-ES"/>
        </w:rPr>
        <w:t>1224).</w:t>
      </w:r>
    </w:p>
    <w:p w14:paraId="77732E3E" w14:textId="3063973A" w:rsidR="003E5D1B" w:rsidRPr="008357EA" w:rsidRDefault="00E26782">
      <w:pPr>
        <w:keepNext/>
        <w:tabs>
          <w:tab w:val="clear" w:pos="1134"/>
        </w:tabs>
        <w:spacing w:before="480" w:after="200" w:line="276" w:lineRule="auto"/>
        <w:ind w:left="1123" w:hanging="1123"/>
        <w:jc w:val="left"/>
        <w:outlineLvl w:val="3"/>
        <w:rPr>
          <w:rFonts w:eastAsiaTheme="minorHAnsi" w:cstheme="majorBidi"/>
          <w:b/>
          <w:bCs/>
          <w:caps/>
          <w:color w:val="000000" w:themeColor="text1"/>
          <w:lang w:val="es-419"/>
        </w:rPr>
      </w:pPr>
      <w:bookmarkStart w:id="77" w:name="_Toc113003302"/>
      <w:bookmarkStart w:id="78" w:name="_Toc113024427"/>
      <w:bookmarkStart w:id="79" w:name="_Toc117501959"/>
      <w:r>
        <w:rPr>
          <w:b/>
          <w:bCs/>
          <w:lang w:val="es-ES"/>
        </w:rPr>
        <w:t>1.8</w:t>
      </w:r>
      <w:r>
        <w:rPr>
          <w:lang w:val="es-ES"/>
        </w:rPr>
        <w:tab/>
      </w:r>
      <w:r w:rsidR="00FB2A8E">
        <w:rPr>
          <w:b/>
          <w:bCs/>
          <w:lang w:val="es-ES"/>
        </w:rPr>
        <w:t>INTERACCIÓN ENTRE LOS CENTROS DEL GDPFS</w:t>
      </w:r>
      <w:bookmarkEnd w:id="77"/>
      <w:bookmarkEnd w:id="78"/>
      <w:bookmarkEnd w:id="79"/>
    </w:p>
    <w:p w14:paraId="18C1F976" w14:textId="6BFD295F" w:rsidR="003E5D1B" w:rsidRPr="008357EA" w:rsidRDefault="00E26782">
      <w:pPr>
        <w:spacing w:after="240" w:line="240" w:lineRule="exact"/>
        <w:rPr>
          <w:rFonts w:eastAsiaTheme="minorEastAsia" w:cstheme="majorBidi"/>
          <w:color w:val="000000" w:themeColor="text1"/>
          <w:lang w:val="es-419"/>
        </w:rPr>
      </w:pPr>
      <w:r>
        <w:rPr>
          <w:lang w:val="es-ES"/>
        </w:rPr>
        <w:t>Los centros del GDPFS interactúan entre sí de diver</w:t>
      </w:r>
      <w:r w:rsidR="00645C0E">
        <w:rPr>
          <w:lang w:val="es-ES"/>
        </w:rPr>
        <w:t>sos modos</w:t>
      </w:r>
      <w:r>
        <w:rPr>
          <w:lang w:val="es-ES"/>
        </w:rPr>
        <w:t>, como se indica a continuación:</w:t>
      </w:r>
    </w:p>
    <w:p w14:paraId="648BDDEF" w14:textId="3CF3E76B" w:rsidR="003E5D1B" w:rsidRPr="008357EA" w:rsidRDefault="00E26782">
      <w:pPr>
        <w:numPr>
          <w:ilvl w:val="0"/>
          <w:numId w:val="8"/>
        </w:numPr>
        <w:tabs>
          <w:tab w:val="clear" w:pos="1134"/>
          <w:tab w:val="left" w:pos="960"/>
        </w:tabs>
        <w:spacing w:after="240" w:line="240" w:lineRule="exact"/>
        <w:ind w:left="950" w:hanging="475"/>
        <w:rPr>
          <w:color w:val="000000" w:themeColor="text1"/>
          <w:szCs w:val="22"/>
          <w:lang w:val="es-419"/>
        </w:rPr>
      </w:pPr>
      <w:r>
        <w:rPr>
          <w:lang w:val="es-ES"/>
        </w:rPr>
        <w:t xml:space="preserve">Interacción entre los </w:t>
      </w:r>
      <w:r w:rsidR="00A95DEF">
        <w:rPr>
          <w:lang w:val="es-ES"/>
        </w:rPr>
        <w:t>CMM</w:t>
      </w:r>
      <w:r>
        <w:rPr>
          <w:lang w:val="es-ES"/>
        </w:rPr>
        <w:t xml:space="preserve"> y los </w:t>
      </w:r>
      <w:r w:rsidR="00A95DEF">
        <w:rPr>
          <w:lang w:val="es-ES"/>
        </w:rPr>
        <w:t>CMRE</w:t>
      </w:r>
      <w:r>
        <w:rPr>
          <w:lang w:val="es-ES"/>
        </w:rPr>
        <w:t xml:space="preserve">. Esos centros suelen interactuar cuando pertenecen a las mismas agrupaciones que usan el mismo código de modelo y colaboran en su desarrollo. Por ejemplo, el </w:t>
      </w:r>
      <w:r w:rsidR="00A95DEF">
        <w:rPr>
          <w:lang w:val="es-ES"/>
        </w:rPr>
        <w:t>CMM</w:t>
      </w:r>
      <w:r>
        <w:rPr>
          <w:lang w:val="es-ES"/>
        </w:rPr>
        <w:t xml:space="preserve"> </w:t>
      </w:r>
      <w:r w:rsidR="005A244C">
        <w:rPr>
          <w:lang w:val="es-ES"/>
        </w:rPr>
        <w:t xml:space="preserve">de </w:t>
      </w:r>
      <w:r>
        <w:rPr>
          <w:lang w:val="es-ES"/>
        </w:rPr>
        <w:t xml:space="preserve">Exeter ejecuta el Modelo Unificado (UM), y el </w:t>
      </w:r>
      <w:r w:rsidR="00A95DEF">
        <w:rPr>
          <w:lang w:val="es-ES"/>
        </w:rPr>
        <w:t>CMRE</w:t>
      </w:r>
      <w:r>
        <w:rPr>
          <w:lang w:val="es-ES"/>
        </w:rPr>
        <w:t xml:space="preserve"> </w:t>
      </w:r>
      <w:r w:rsidR="005A244C">
        <w:rPr>
          <w:lang w:val="es-ES"/>
        </w:rPr>
        <w:t xml:space="preserve">de </w:t>
      </w:r>
      <w:r>
        <w:rPr>
          <w:lang w:val="es-ES"/>
        </w:rPr>
        <w:t xml:space="preserve">Pretoria utiliza el código de ese modelo </w:t>
      </w:r>
      <w:r w:rsidR="00645C0E">
        <w:rPr>
          <w:lang w:val="es-ES"/>
        </w:rPr>
        <w:t xml:space="preserve">y contribuye a su desarrollo </w:t>
      </w:r>
      <w:r>
        <w:rPr>
          <w:lang w:val="es-ES"/>
        </w:rPr>
        <w:t>ejecutando una versión de área limitada de él que se aplica a la región de África meridional.</w:t>
      </w:r>
    </w:p>
    <w:p w14:paraId="64CE1142" w14:textId="3977D480" w:rsidR="003E5D1B" w:rsidRPr="008357EA" w:rsidRDefault="00E26782">
      <w:pPr>
        <w:numPr>
          <w:ilvl w:val="0"/>
          <w:numId w:val="8"/>
        </w:numPr>
        <w:tabs>
          <w:tab w:val="clear" w:pos="1134"/>
          <w:tab w:val="left" w:pos="960"/>
        </w:tabs>
        <w:spacing w:after="240" w:line="240" w:lineRule="exact"/>
        <w:ind w:left="950" w:hanging="475"/>
        <w:rPr>
          <w:color w:val="000000" w:themeColor="text1"/>
          <w:szCs w:val="22"/>
          <w:lang w:val="es-419"/>
        </w:rPr>
      </w:pPr>
      <w:r>
        <w:rPr>
          <w:lang w:val="es-ES"/>
        </w:rPr>
        <w:t xml:space="preserve">Interacción entre </w:t>
      </w:r>
      <w:r w:rsidR="00A95DEF">
        <w:rPr>
          <w:lang w:val="es-ES"/>
        </w:rPr>
        <w:t>CMRE</w:t>
      </w:r>
      <w:r>
        <w:rPr>
          <w:lang w:val="es-ES"/>
        </w:rPr>
        <w:t xml:space="preserve"> que llevan a cabo actividades especializadas diferentes. Un ejemplo de este tipo de interacción es la que se da entre los </w:t>
      </w:r>
      <w:r w:rsidR="00A95DEF">
        <w:rPr>
          <w:lang w:val="es-ES"/>
        </w:rPr>
        <w:t>CMRE</w:t>
      </w:r>
      <w:r>
        <w:rPr>
          <w:lang w:val="es-ES"/>
        </w:rPr>
        <w:t xml:space="preserve"> que hacen predicciones de ciclones tropicales (como el </w:t>
      </w:r>
      <w:r w:rsidR="00A95DEF">
        <w:rPr>
          <w:lang w:val="es-ES"/>
        </w:rPr>
        <w:t>CMRE</w:t>
      </w:r>
      <w:r>
        <w:rPr>
          <w:lang w:val="es-ES"/>
        </w:rPr>
        <w:t xml:space="preserve"> </w:t>
      </w:r>
      <w:r w:rsidR="005A244C">
        <w:rPr>
          <w:lang w:val="es-ES"/>
        </w:rPr>
        <w:t xml:space="preserve">de </w:t>
      </w:r>
      <w:r>
        <w:rPr>
          <w:lang w:val="es-ES"/>
        </w:rPr>
        <w:t xml:space="preserve">La Reunión) y los </w:t>
      </w:r>
      <w:r w:rsidR="00A95DEF">
        <w:rPr>
          <w:lang w:val="es-ES"/>
        </w:rPr>
        <w:t>CMRE</w:t>
      </w:r>
      <w:r>
        <w:rPr>
          <w:lang w:val="es-ES"/>
        </w:rPr>
        <w:t xml:space="preserve"> que hacen predicciones </w:t>
      </w:r>
      <w:r w:rsidR="00AA467F">
        <w:rPr>
          <w:lang w:val="es-ES"/>
        </w:rPr>
        <w:t>de fenómenos meteorológicos adversos a escala regional</w:t>
      </w:r>
      <w:r>
        <w:rPr>
          <w:lang w:val="es-ES"/>
        </w:rPr>
        <w:t xml:space="preserve"> (como el </w:t>
      </w:r>
      <w:r w:rsidR="00A95DEF">
        <w:rPr>
          <w:lang w:val="es-ES"/>
        </w:rPr>
        <w:t>CMRE</w:t>
      </w:r>
      <w:r>
        <w:rPr>
          <w:lang w:val="es-ES"/>
        </w:rPr>
        <w:t xml:space="preserve"> </w:t>
      </w:r>
      <w:r w:rsidR="005A244C">
        <w:rPr>
          <w:lang w:val="es-ES"/>
        </w:rPr>
        <w:t xml:space="preserve">de </w:t>
      </w:r>
      <w:r>
        <w:rPr>
          <w:lang w:val="es-ES"/>
        </w:rPr>
        <w:t>Pretoria), que se coordinan y comparten información durante todo el fenómeno.</w:t>
      </w:r>
    </w:p>
    <w:p w14:paraId="5078FF58" w14:textId="432400DB" w:rsidR="003E5D1B" w:rsidRPr="008357EA" w:rsidRDefault="00E26782">
      <w:pPr>
        <w:numPr>
          <w:ilvl w:val="0"/>
          <w:numId w:val="8"/>
        </w:numPr>
        <w:tabs>
          <w:tab w:val="clear" w:pos="1134"/>
          <w:tab w:val="left" w:pos="960"/>
        </w:tabs>
        <w:spacing w:after="240" w:line="240" w:lineRule="exact"/>
        <w:ind w:left="950" w:hanging="475"/>
        <w:rPr>
          <w:color w:val="000000" w:themeColor="text1"/>
          <w:szCs w:val="22"/>
          <w:lang w:val="es-419"/>
        </w:rPr>
      </w:pPr>
      <w:r>
        <w:rPr>
          <w:lang w:val="es-ES"/>
        </w:rPr>
        <w:t xml:space="preserve">Interacción entre </w:t>
      </w:r>
      <w:r w:rsidR="00A95DEF">
        <w:rPr>
          <w:lang w:val="es-ES"/>
        </w:rPr>
        <w:t>CMRE</w:t>
      </w:r>
      <w:r>
        <w:rPr>
          <w:lang w:val="es-ES"/>
        </w:rPr>
        <w:t xml:space="preserve"> que llevan a cabo la misma actividad especializada. Un ejemplo de este tipo de interacción es la que se da cuando hay acuerdos regionales o mundiales entre los </w:t>
      </w:r>
      <w:r w:rsidR="00A95DEF">
        <w:rPr>
          <w:lang w:val="es-ES"/>
        </w:rPr>
        <w:t>CMRE</w:t>
      </w:r>
      <w:r>
        <w:rPr>
          <w:lang w:val="es-ES"/>
        </w:rPr>
        <w:t xml:space="preserve"> cuya actividad especializada es la respuesta en casos de emergencia medioambiental por accidente nuclear, como se describe en el apéndice 2.2.22 del </w:t>
      </w:r>
      <w:r w:rsidR="002D6434" w:rsidRPr="002D6434">
        <w:rPr>
          <w:i/>
          <w:iCs/>
          <w:lang w:val="es-ES"/>
        </w:rPr>
        <w:t>Manual del Sistema Mundial de Proceso de Datos y de Predicción</w:t>
      </w:r>
      <w:r w:rsidR="008357EA">
        <w:rPr>
          <w:lang w:val="es-ES"/>
        </w:rPr>
        <w:t xml:space="preserve"> (</w:t>
      </w:r>
      <w:r w:rsidR="00EB4587">
        <w:rPr>
          <w:lang w:val="es-ES"/>
        </w:rPr>
        <w:t>OMM</w:t>
      </w:r>
      <w:r w:rsidR="00EB4587">
        <w:rPr>
          <w:lang w:val="es-ES"/>
        </w:rPr>
        <w:noBreakHyphen/>
        <w:t>Nº</w:t>
      </w:r>
      <w:r w:rsidR="0093047C">
        <w:rPr>
          <w:lang w:val="es-ES"/>
        </w:rPr>
        <w:t> </w:t>
      </w:r>
      <w:r w:rsidR="008357EA">
        <w:rPr>
          <w:lang w:val="es-ES"/>
        </w:rPr>
        <w:t>485).</w:t>
      </w:r>
    </w:p>
    <w:p w14:paraId="4CE8C229" w14:textId="7327ACED" w:rsidR="003E5D1B" w:rsidRPr="008357EA" w:rsidRDefault="00E26782">
      <w:pPr>
        <w:numPr>
          <w:ilvl w:val="0"/>
          <w:numId w:val="8"/>
        </w:numPr>
        <w:tabs>
          <w:tab w:val="clear" w:pos="1134"/>
          <w:tab w:val="left" w:pos="960"/>
        </w:tabs>
        <w:spacing w:after="240" w:line="240" w:lineRule="exact"/>
        <w:ind w:left="950" w:hanging="475"/>
        <w:rPr>
          <w:color w:val="000000" w:themeColor="text1"/>
          <w:szCs w:val="22"/>
          <w:lang w:val="es-419"/>
        </w:rPr>
      </w:pPr>
      <w:r>
        <w:rPr>
          <w:lang w:val="es-ES"/>
        </w:rPr>
        <w:lastRenderedPageBreak/>
        <w:t xml:space="preserve">Interacción entre los </w:t>
      </w:r>
      <w:r w:rsidR="00A95DEF">
        <w:rPr>
          <w:lang w:val="es-ES"/>
        </w:rPr>
        <w:t>CMRE</w:t>
      </w:r>
      <w:r>
        <w:rPr>
          <w:lang w:val="es-ES"/>
        </w:rPr>
        <w:t xml:space="preserve"> y los </w:t>
      </w:r>
      <w:r w:rsidR="006753E1">
        <w:rPr>
          <w:lang w:val="es-ES"/>
        </w:rPr>
        <w:t>CMN</w:t>
      </w:r>
      <w:r>
        <w:rPr>
          <w:lang w:val="es-ES"/>
        </w:rPr>
        <w:t xml:space="preserve">. Cabe citar como ejemplo los procedimientos que se definen en la sección 2.2.2.6 del </w:t>
      </w:r>
      <w:r w:rsidR="002D6434" w:rsidRPr="002D6434">
        <w:rPr>
          <w:i/>
          <w:iCs/>
          <w:lang w:val="es-ES"/>
        </w:rPr>
        <w:t>Manual del Sistema Mundial de Proceso de Datos y de Predicción</w:t>
      </w:r>
      <w:r w:rsidR="008357EA">
        <w:rPr>
          <w:lang w:val="es-ES"/>
        </w:rPr>
        <w:t xml:space="preserve"> (</w:t>
      </w:r>
      <w:r w:rsidR="00EB4587">
        <w:rPr>
          <w:lang w:val="es-ES"/>
        </w:rPr>
        <w:t>OMM</w:t>
      </w:r>
      <w:r w:rsidR="00EB4587">
        <w:rPr>
          <w:lang w:val="es-ES"/>
        </w:rPr>
        <w:noBreakHyphen/>
        <w:t>Nº</w:t>
      </w:r>
      <w:r w:rsidR="0093047C">
        <w:rPr>
          <w:lang w:val="es-ES"/>
        </w:rPr>
        <w:t> </w:t>
      </w:r>
      <w:r w:rsidR="008357EA">
        <w:rPr>
          <w:lang w:val="es-ES"/>
        </w:rPr>
        <w:t>485)</w:t>
      </w:r>
      <w:r>
        <w:rPr>
          <w:lang w:val="es-ES"/>
        </w:rPr>
        <w:t>, que se refiere a la predicción de ciclones tropicales.</w:t>
      </w:r>
    </w:p>
    <w:p w14:paraId="186D8E04" w14:textId="0086BDBB" w:rsidR="003E5D1B" w:rsidRPr="008357EA" w:rsidRDefault="00E26782">
      <w:pPr>
        <w:numPr>
          <w:ilvl w:val="0"/>
          <w:numId w:val="8"/>
        </w:numPr>
        <w:tabs>
          <w:tab w:val="clear" w:pos="1134"/>
          <w:tab w:val="left" w:pos="960"/>
        </w:tabs>
        <w:spacing w:after="240" w:line="240" w:lineRule="exact"/>
        <w:ind w:left="950" w:hanging="475"/>
        <w:rPr>
          <w:color w:val="000000" w:themeColor="text1"/>
          <w:szCs w:val="22"/>
          <w:lang w:val="es-419"/>
        </w:rPr>
      </w:pPr>
      <w:r>
        <w:rPr>
          <w:lang w:val="es-ES"/>
        </w:rPr>
        <w:t xml:space="preserve">Interacción entre los </w:t>
      </w:r>
      <w:r w:rsidR="006753E1">
        <w:rPr>
          <w:lang w:val="es-ES"/>
        </w:rPr>
        <w:t>CMN</w:t>
      </w:r>
      <w:r>
        <w:rPr>
          <w:lang w:val="es-ES"/>
        </w:rPr>
        <w:t>. Esos centros suelen interactuar cuando pertenecen a las mismas agrupaciones que usan el mismo código de modelo de área limitada y colaboran en su desarrollo. Un ejemplo son los consorcios ALADIN, AROME y otros. Se pueden establecer otras interacciones de este tipo mediante acuerdos bilaterales.</w:t>
      </w:r>
    </w:p>
    <w:p w14:paraId="3DEDF13E" w14:textId="7F8CE072" w:rsidR="003E5D1B" w:rsidRPr="008357EA" w:rsidRDefault="00E26782">
      <w:pPr>
        <w:keepNext/>
        <w:tabs>
          <w:tab w:val="clear" w:pos="1134"/>
        </w:tabs>
        <w:spacing w:before="480" w:after="200" w:line="276" w:lineRule="auto"/>
        <w:ind w:left="1123" w:hanging="1123"/>
        <w:jc w:val="left"/>
        <w:outlineLvl w:val="3"/>
        <w:rPr>
          <w:rFonts w:eastAsiaTheme="minorHAnsi" w:cstheme="majorBidi"/>
          <w:b/>
          <w:bCs/>
          <w:caps/>
          <w:color w:val="000000" w:themeColor="text1"/>
          <w:lang w:val="es-419"/>
        </w:rPr>
      </w:pPr>
      <w:bookmarkStart w:id="80" w:name="_Toc113003303"/>
      <w:bookmarkStart w:id="81" w:name="_Toc113024428"/>
      <w:bookmarkStart w:id="82" w:name="_Toc117501960"/>
      <w:r>
        <w:rPr>
          <w:b/>
          <w:bCs/>
          <w:lang w:val="es-ES"/>
        </w:rPr>
        <w:t>1.9</w:t>
      </w:r>
      <w:r>
        <w:rPr>
          <w:lang w:val="es-ES"/>
        </w:rPr>
        <w:tab/>
      </w:r>
      <w:r w:rsidR="0008099F">
        <w:rPr>
          <w:b/>
          <w:bCs/>
          <w:lang w:val="es-ES"/>
        </w:rPr>
        <w:t>PUESTA EN PRÁCTICA</w:t>
      </w:r>
      <w:r w:rsidR="00FB2A8E">
        <w:rPr>
          <w:b/>
          <w:bCs/>
          <w:lang w:val="es-ES"/>
        </w:rPr>
        <w:t xml:space="preserve"> DEL GDPFS</w:t>
      </w:r>
      <w:r w:rsidR="0008099F">
        <w:rPr>
          <w:b/>
          <w:bCs/>
          <w:lang w:val="es-ES"/>
        </w:rPr>
        <w:t xml:space="preserve"> E</w:t>
      </w:r>
      <w:r w:rsidR="00FB2A8E">
        <w:rPr>
          <w:b/>
          <w:bCs/>
          <w:lang w:val="es-ES"/>
        </w:rPr>
        <w:t xml:space="preserve"> INTERACCIÓN </w:t>
      </w:r>
      <w:r w:rsidR="0008099F">
        <w:rPr>
          <w:b/>
          <w:bCs/>
          <w:lang w:val="es-ES"/>
        </w:rPr>
        <w:t>CON</w:t>
      </w:r>
      <w:r w:rsidR="00FB2A8E">
        <w:rPr>
          <w:b/>
          <w:bCs/>
          <w:lang w:val="es-ES"/>
        </w:rPr>
        <w:t xml:space="preserve"> LOS PROGRAMAS</w:t>
      </w:r>
      <w:r w:rsidR="0008099F">
        <w:rPr>
          <w:b/>
          <w:bCs/>
          <w:lang w:val="es-ES"/>
        </w:rPr>
        <w:t xml:space="preserve"> O LAS </w:t>
      </w:r>
      <w:r w:rsidR="00FB2A8E">
        <w:rPr>
          <w:b/>
          <w:bCs/>
          <w:lang w:val="es-ES"/>
        </w:rPr>
        <w:t xml:space="preserve">COMISIONES TÉCNICAS </w:t>
      </w:r>
      <w:r w:rsidR="0008099F">
        <w:rPr>
          <w:b/>
          <w:bCs/>
          <w:lang w:val="es-ES"/>
        </w:rPr>
        <w:t>Y</w:t>
      </w:r>
      <w:r w:rsidR="00FB2A8E">
        <w:rPr>
          <w:b/>
          <w:bCs/>
          <w:lang w:val="es-ES"/>
        </w:rPr>
        <w:t xml:space="preserve"> LAS ASOCIACIONES REGIONALES</w:t>
      </w:r>
      <w:bookmarkEnd w:id="80"/>
      <w:bookmarkEnd w:id="81"/>
      <w:bookmarkEnd w:id="82"/>
    </w:p>
    <w:p w14:paraId="6C4C9D6E" w14:textId="0EFBECEF" w:rsidR="003E5D1B" w:rsidRPr="008357EA" w:rsidRDefault="00E26782">
      <w:pPr>
        <w:keepNext/>
        <w:spacing w:before="240" w:after="240" w:line="240" w:lineRule="exact"/>
        <w:ind w:left="1123" w:hanging="1123"/>
        <w:jc w:val="left"/>
        <w:outlineLvl w:val="4"/>
        <w:rPr>
          <w:b/>
          <w:bCs/>
          <w:color w:val="000000" w:themeColor="text1"/>
          <w:lang w:val="es-419"/>
        </w:rPr>
      </w:pPr>
      <w:bookmarkStart w:id="83" w:name="_Toc113003304"/>
      <w:bookmarkStart w:id="84" w:name="_Toc113024429"/>
      <w:bookmarkStart w:id="85" w:name="_Toc117501961"/>
      <w:r>
        <w:rPr>
          <w:b/>
          <w:bCs/>
          <w:lang w:val="es-ES"/>
        </w:rPr>
        <w:t>1.9.1</w:t>
      </w:r>
      <w:r>
        <w:rPr>
          <w:lang w:val="es-ES"/>
        </w:rPr>
        <w:tab/>
      </w:r>
      <w:r>
        <w:rPr>
          <w:b/>
          <w:bCs/>
          <w:lang w:val="es-ES"/>
        </w:rPr>
        <w:t>El papel de las comisiones técnicas</w:t>
      </w:r>
      <w:bookmarkEnd w:id="83"/>
      <w:bookmarkEnd w:id="84"/>
      <w:bookmarkEnd w:id="85"/>
    </w:p>
    <w:p w14:paraId="524070DB" w14:textId="62C32A20" w:rsidR="003E5D1B" w:rsidRPr="008357EA" w:rsidRDefault="00E26782">
      <w:pPr>
        <w:spacing w:after="240" w:line="240" w:lineRule="exact"/>
        <w:rPr>
          <w:rFonts w:eastAsiaTheme="minorEastAsia" w:cstheme="majorBidi"/>
          <w:color w:val="000000" w:themeColor="text1"/>
          <w:lang w:val="es-419"/>
        </w:rPr>
      </w:pPr>
      <w:r>
        <w:rPr>
          <w:lang w:val="es-ES"/>
        </w:rPr>
        <w:t xml:space="preserve">Las comisiones técnicas de la OMM se encargan de dirigir los aspectos técnicos de la </w:t>
      </w:r>
      <w:r w:rsidR="0008099F">
        <w:rPr>
          <w:lang w:val="es-ES"/>
        </w:rPr>
        <w:t>puesta en práctica</w:t>
      </w:r>
      <w:r>
        <w:rPr>
          <w:lang w:val="es-ES"/>
        </w:rPr>
        <w:t xml:space="preserve"> del GDPFS, de su evolución y del control del cumplimiento de los centros del GDPFS (proceso de auditoría). </w:t>
      </w:r>
    </w:p>
    <w:p w14:paraId="0D3670FB" w14:textId="33E2D46E" w:rsidR="003E5D1B" w:rsidRPr="008357EA" w:rsidRDefault="00E26782">
      <w:pPr>
        <w:spacing w:after="240" w:line="240" w:lineRule="exact"/>
        <w:rPr>
          <w:rFonts w:eastAsiaTheme="minorEastAsia" w:cstheme="majorBidi"/>
          <w:color w:val="000000" w:themeColor="text1"/>
          <w:lang w:val="es-419"/>
        </w:rPr>
      </w:pPr>
      <w:r>
        <w:rPr>
          <w:lang w:val="es-ES"/>
        </w:rPr>
        <w:t xml:space="preserve">Las comisiones técnicas también son responsables de seleccionar el material (incluidos los criterios, las actividades y las funciones) que se ha de incluir en el </w:t>
      </w:r>
      <w:r w:rsidR="002D6434" w:rsidRPr="002D6434">
        <w:rPr>
          <w:i/>
          <w:iCs/>
          <w:lang w:val="es-ES"/>
        </w:rPr>
        <w:t>Manual del Sistema Mundial de Proceso de Datos y de Predicción</w:t>
      </w:r>
      <w:r w:rsidR="008357EA" w:rsidRPr="008357EA">
        <w:rPr>
          <w:i/>
          <w:iCs/>
          <w:lang w:val="es-ES"/>
        </w:rPr>
        <w:t xml:space="preserve"> </w:t>
      </w:r>
      <w:r>
        <w:rPr>
          <w:lang w:val="es-ES"/>
        </w:rPr>
        <w:t>(</w:t>
      </w:r>
      <w:r w:rsidR="00EB4587">
        <w:rPr>
          <w:lang w:val="es-ES"/>
        </w:rPr>
        <w:t>OMM</w:t>
      </w:r>
      <w:r w:rsidR="00EB4587">
        <w:rPr>
          <w:lang w:val="es-ES"/>
        </w:rPr>
        <w:noBreakHyphen/>
        <w:t>Nº</w:t>
      </w:r>
      <w:r w:rsidR="0093047C">
        <w:rPr>
          <w:lang w:val="es-ES"/>
        </w:rPr>
        <w:t> </w:t>
      </w:r>
      <w:r>
        <w:rPr>
          <w:lang w:val="es-ES"/>
        </w:rPr>
        <w:t xml:space="preserve">485) y en la presente </w:t>
      </w:r>
      <w:r w:rsidR="0008099F">
        <w:rPr>
          <w:lang w:val="es-ES"/>
        </w:rPr>
        <w:t>Guía</w:t>
      </w:r>
      <w:r>
        <w:rPr>
          <w:i/>
          <w:iCs/>
          <w:lang w:val="es-ES"/>
        </w:rPr>
        <w:t>.</w:t>
      </w:r>
      <w:r>
        <w:rPr>
          <w:lang w:val="es-ES"/>
        </w:rPr>
        <w:t xml:space="preserve"> Sus recomendaciones serán examinadas por el Consejo Ejecutivo o el Congreso de la OMM. </w:t>
      </w:r>
    </w:p>
    <w:p w14:paraId="7C99047A" w14:textId="54320916" w:rsidR="003E5D1B" w:rsidRPr="008357EA" w:rsidRDefault="00E26782">
      <w:pPr>
        <w:keepNext/>
        <w:spacing w:before="240" w:after="240" w:line="240" w:lineRule="exact"/>
        <w:ind w:left="1123" w:hanging="1123"/>
        <w:outlineLvl w:val="4"/>
        <w:rPr>
          <w:b/>
          <w:bCs/>
          <w:color w:val="000000" w:themeColor="text1"/>
          <w:lang w:val="es-419"/>
        </w:rPr>
      </w:pPr>
      <w:bookmarkStart w:id="86" w:name="_Toc113003305"/>
      <w:bookmarkStart w:id="87" w:name="_Toc113024430"/>
      <w:bookmarkStart w:id="88" w:name="_Toc117501962"/>
      <w:r>
        <w:rPr>
          <w:b/>
          <w:bCs/>
          <w:lang w:val="es-ES"/>
        </w:rPr>
        <w:t>1.9.2</w:t>
      </w:r>
      <w:r>
        <w:rPr>
          <w:lang w:val="es-ES"/>
        </w:rPr>
        <w:tab/>
      </w:r>
      <w:r>
        <w:rPr>
          <w:b/>
          <w:bCs/>
          <w:lang w:val="es-ES"/>
        </w:rPr>
        <w:t>El papel de las asociaciones regionales</w:t>
      </w:r>
      <w:bookmarkEnd w:id="86"/>
      <w:bookmarkEnd w:id="87"/>
      <w:bookmarkEnd w:id="88"/>
    </w:p>
    <w:p w14:paraId="154DBE79" w14:textId="6AACBAF7" w:rsidR="003E5D1B" w:rsidRPr="008357EA" w:rsidRDefault="00E26782">
      <w:pPr>
        <w:spacing w:after="240" w:line="240" w:lineRule="exact"/>
        <w:rPr>
          <w:rFonts w:eastAsiaTheme="minorEastAsia" w:cstheme="majorBidi"/>
          <w:color w:val="000000" w:themeColor="text1"/>
          <w:lang w:val="es-419"/>
        </w:rPr>
      </w:pPr>
      <w:r>
        <w:rPr>
          <w:lang w:val="es-ES"/>
        </w:rPr>
        <w:t xml:space="preserve">Las asociaciones regionales (o los organismos regionales alternativos, como los órganos regionales especializados en ciclones tropicales) </w:t>
      </w:r>
      <w:r w:rsidR="00BD5331">
        <w:rPr>
          <w:lang w:val="es-ES"/>
        </w:rPr>
        <w:t>se encargan de lo siguiente</w:t>
      </w:r>
      <w:r>
        <w:rPr>
          <w:lang w:val="es-ES"/>
        </w:rPr>
        <w:t>:</w:t>
      </w:r>
    </w:p>
    <w:p w14:paraId="6290EF10" w14:textId="344BF791" w:rsidR="003E5D1B" w:rsidRPr="008357EA" w:rsidRDefault="00E26782">
      <w:pPr>
        <w:numPr>
          <w:ilvl w:val="0"/>
          <w:numId w:val="25"/>
        </w:numPr>
        <w:tabs>
          <w:tab w:val="clear" w:pos="1134"/>
          <w:tab w:val="left" w:pos="960"/>
        </w:tabs>
        <w:spacing w:after="240" w:line="240" w:lineRule="exact"/>
        <w:rPr>
          <w:color w:val="000000" w:themeColor="text1"/>
          <w:szCs w:val="22"/>
          <w:lang w:val="es-419"/>
        </w:rPr>
      </w:pPr>
      <w:r>
        <w:rPr>
          <w:lang w:val="es-ES"/>
        </w:rPr>
        <w:t xml:space="preserve">Evaluar la necesidad de crear nuevos </w:t>
      </w:r>
      <w:r w:rsidR="00A95DEF">
        <w:rPr>
          <w:lang w:val="es-ES"/>
        </w:rPr>
        <w:t>CMM</w:t>
      </w:r>
      <w:r>
        <w:rPr>
          <w:lang w:val="es-ES"/>
        </w:rPr>
        <w:t xml:space="preserve"> y </w:t>
      </w:r>
      <w:r w:rsidR="00A95DEF">
        <w:rPr>
          <w:lang w:val="es-ES"/>
        </w:rPr>
        <w:t>CMRE</w:t>
      </w:r>
      <w:r>
        <w:rPr>
          <w:lang w:val="es-ES"/>
        </w:rPr>
        <w:t xml:space="preserve"> en sus respectivas regiones.</w:t>
      </w:r>
    </w:p>
    <w:p w14:paraId="6D30211C" w14:textId="055ADBA1" w:rsidR="003E5D1B" w:rsidRPr="008357EA" w:rsidRDefault="00E26782">
      <w:pPr>
        <w:numPr>
          <w:ilvl w:val="0"/>
          <w:numId w:val="25"/>
        </w:numPr>
        <w:tabs>
          <w:tab w:val="clear" w:pos="1134"/>
          <w:tab w:val="left" w:pos="960"/>
        </w:tabs>
        <w:spacing w:after="240" w:line="240" w:lineRule="exact"/>
        <w:rPr>
          <w:color w:val="000000" w:themeColor="text1"/>
          <w:szCs w:val="22"/>
          <w:lang w:val="es-419"/>
        </w:rPr>
      </w:pPr>
      <w:r>
        <w:rPr>
          <w:lang w:val="es-ES"/>
        </w:rPr>
        <w:t xml:space="preserve">Proponer </w:t>
      </w:r>
      <w:r w:rsidR="00A95DEF">
        <w:rPr>
          <w:lang w:val="es-ES"/>
        </w:rPr>
        <w:t>CMM</w:t>
      </w:r>
      <w:r>
        <w:rPr>
          <w:lang w:val="es-ES"/>
        </w:rPr>
        <w:t xml:space="preserve"> y </w:t>
      </w:r>
      <w:r w:rsidR="00A95DEF">
        <w:rPr>
          <w:lang w:val="es-ES"/>
        </w:rPr>
        <w:t>CMRE</w:t>
      </w:r>
      <w:r>
        <w:rPr>
          <w:lang w:val="es-ES"/>
        </w:rPr>
        <w:t xml:space="preserve"> para su posible designación según las necesidades de los Miembros de sus respectivas regiones. </w:t>
      </w:r>
    </w:p>
    <w:p w14:paraId="6A732961" w14:textId="1E7E91A9" w:rsidR="003E5D1B" w:rsidRPr="008357EA" w:rsidRDefault="00E26782">
      <w:pPr>
        <w:numPr>
          <w:ilvl w:val="0"/>
          <w:numId w:val="25"/>
        </w:numPr>
        <w:tabs>
          <w:tab w:val="clear" w:pos="1134"/>
          <w:tab w:val="left" w:pos="960"/>
        </w:tabs>
        <w:spacing w:after="240" w:line="240" w:lineRule="exact"/>
        <w:rPr>
          <w:color w:val="000000" w:themeColor="text1"/>
          <w:szCs w:val="22"/>
          <w:lang w:val="es-419"/>
        </w:rPr>
      </w:pPr>
      <w:r>
        <w:rPr>
          <w:lang w:val="es-ES"/>
        </w:rPr>
        <w:t xml:space="preserve">Promover el uso de los productos de los </w:t>
      </w:r>
      <w:r w:rsidR="00A95DEF">
        <w:rPr>
          <w:lang w:val="es-ES"/>
        </w:rPr>
        <w:t>CMM</w:t>
      </w:r>
      <w:r>
        <w:rPr>
          <w:lang w:val="es-ES"/>
        </w:rPr>
        <w:t xml:space="preserve"> y los </w:t>
      </w:r>
      <w:r w:rsidR="00A95DEF">
        <w:rPr>
          <w:lang w:val="es-ES"/>
        </w:rPr>
        <w:t>CMRE</w:t>
      </w:r>
      <w:r>
        <w:rPr>
          <w:lang w:val="es-ES"/>
        </w:rPr>
        <w:t xml:space="preserve"> entre los Miembros de sus respectivas regiones. </w:t>
      </w:r>
    </w:p>
    <w:p w14:paraId="5F0751F7" w14:textId="33F112DE" w:rsidR="003E5D1B" w:rsidRPr="008357EA" w:rsidRDefault="00E26782">
      <w:pPr>
        <w:keepNext/>
        <w:tabs>
          <w:tab w:val="clear" w:pos="1134"/>
        </w:tabs>
        <w:spacing w:before="480" w:after="200" w:line="276" w:lineRule="auto"/>
        <w:ind w:left="1123" w:hanging="1123"/>
        <w:outlineLvl w:val="3"/>
        <w:rPr>
          <w:rFonts w:eastAsiaTheme="minorHAnsi" w:cstheme="majorBidi"/>
          <w:b/>
          <w:bCs/>
          <w:caps/>
          <w:color w:val="000000" w:themeColor="text1"/>
          <w:lang w:val="es-419"/>
        </w:rPr>
      </w:pPr>
      <w:bookmarkStart w:id="89" w:name="_Toc113003306"/>
      <w:bookmarkStart w:id="90" w:name="_Toc113024431"/>
      <w:bookmarkStart w:id="91" w:name="_Toc117501963"/>
      <w:r>
        <w:rPr>
          <w:b/>
          <w:bCs/>
          <w:lang w:val="es-ES"/>
        </w:rPr>
        <w:t>1.10</w:t>
      </w:r>
      <w:r>
        <w:rPr>
          <w:lang w:val="es-ES"/>
        </w:rPr>
        <w:tab/>
      </w:r>
      <w:r w:rsidR="00BD5331">
        <w:rPr>
          <w:b/>
          <w:bCs/>
          <w:lang w:val="es-ES"/>
        </w:rPr>
        <w:t>RESUMEN DE LAS DIRECTRICES PERTINENTES</w:t>
      </w:r>
      <w:bookmarkEnd w:id="89"/>
      <w:bookmarkEnd w:id="90"/>
      <w:bookmarkEnd w:id="91"/>
    </w:p>
    <w:p w14:paraId="36E067DE" w14:textId="7EA73D04" w:rsidR="003E5D1B" w:rsidRPr="008357EA" w:rsidRDefault="00E26782">
      <w:pPr>
        <w:spacing w:after="240" w:line="240" w:lineRule="exact"/>
        <w:rPr>
          <w:rFonts w:eastAsiaTheme="minorEastAsia" w:cstheme="majorBidi"/>
          <w:color w:val="000000" w:themeColor="text1"/>
          <w:lang w:val="es-419"/>
        </w:rPr>
      </w:pPr>
      <w:r>
        <w:rPr>
          <w:lang w:val="es-ES"/>
        </w:rPr>
        <w:t xml:space="preserve">En la elaboración de la presente Guía se adopta un enfoque complementario, en el sentido de que su única finalidad es difundir materiales explicativos que complementan los que se presentan en manuales y guías que ya se han publicado. Todas las orientaciones relativas a los sistemas de proceso de datos y de predicción que figuran en las guías o los manuales de la OMM constituyen efectivamente </w:t>
      </w:r>
      <w:r w:rsidR="0077342A">
        <w:rPr>
          <w:lang w:val="es-ES"/>
        </w:rPr>
        <w:t>materiales</w:t>
      </w:r>
      <w:r>
        <w:rPr>
          <w:lang w:val="es-ES"/>
        </w:rPr>
        <w:t xml:space="preserve"> de orientación </w:t>
      </w:r>
      <w:r w:rsidR="0077342A">
        <w:rPr>
          <w:lang w:val="es-ES"/>
        </w:rPr>
        <w:t>relativos a</w:t>
      </w:r>
      <w:r>
        <w:rPr>
          <w:lang w:val="es-ES"/>
        </w:rPr>
        <w:t xml:space="preserve">l GDPFS. </w:t>
      </w:r>
    </w:p>
    <w:p w14:paraId="59FD8225" w14:textId="6B402BD2" w:rsidR="003E5D1B" w:rsidRPr="008357EA" w:rsidRDefault="00E26782">
      <w:pPr>
        <w:spacing w:after="240" w:line="240" w:lineRule="exact"/>
        <w:rPr>
          <w:rFonts w:eastAsiaTheme="minorEastAsia" w:cstheme="majorBidi"/>
          <w:color w:val="000000" w:themeColor="text1"/>
          <w:lang w:val="es-419"/>
        </w:rPr>
      </w:pPr>
      <w:r>
        <w:rPr>
          <w:lang w:val="es-ES"/>
        </w:rPr>
        <w:t xml:space="preserve">A continuación figura una lista de las publicaciones relacionadas con la </w:t>
      </w:r>
      <w:r w:rsidR="00FC7B89" w:rsidRPr="002D6434">
        <w:rPr>
          <w:i/>
          <w:iCs/>
          <w:lang w:val="es-ES"/>
        </w:rPr>
        <w:t>Guía del Sistema Mundial de Proceso de Datos</w:t>
      </w:r>
      <w:r w:rsidR="00FC7B89">
        <w:rPr>
          <w:lang w:val="es-ES"/>
        </w:rPr>
        <w:t xml:space="preserve"> </w:t>
      </w:r>
      <w:r w:rsidR="00FC7B89" w:rsidRPr="00FC7B89">
        <w:rPr>
          <w:i/>
          <w:iCs/>
          <w:lang w:val="es-ES"/>
        </w:rPr>
        <w:t>y de Predicción</w:t>
      </w:r>
      <w:r>
        <w:rPr>
          <w:lang w:val="es-ES"/>
        </w:rPr>
        <w:t xml:space="preserve"> (</w:t>
      </w:r>
      <w:r w:rsidR="00EB4587">
        <w:rPr>
          <w:lang w:val="es-ES"/>
        </w:rPr>
        <w:t>OMM</w:t>
      </w:r>
      <w:r w:rsidR="00EB4587">
        <w:rPr>
          <w:lang w:val="es-ES"/>
        </w:rPr>
        <w:noBreakHyphen/>
        <w:t>Nº</w:t>
      </w:r>
      <w:r w:rsidR="0093047C">
        <w:rPr>
          <w:lang w:val="es-ES"/>
        </w:rPr>
        <w:t> </w:t>
      </w:r>
      <w:r>
        <w:rPr>
          <w:lang w:val="es-ES"/>
        </w:rPr>
        <w:t xml:space="preserve">305). Las publicaciones más pertinentes se indican por medio de un asterisco (*) que se coloca después del nombre de la publicación. También se hace referencia a las publicaciones en las secciones de la presente Guía en que se desea destacar un punto muy concreto. Todas estas publicaciones están disponibles en la </w:t>
      </w:r>
      <w:hyperlink r:id="rId25" w:history="1">
        <w:r w:rsidRPr="00E379E2">
          <w:rPr>
            <w:rStyle w:val="Hyperlink"/>
            <w:lang w:val="es-ES"/>
          </w:rPr>
          <w:t>biblioteca electrónica de la OMM</w:t>
        </w:r>
      </w:hyperlink>
      <w:r>
        <w:rPr>
          <w:lang w:val="es-ES"/>
        </w:rPr>
        <w:t xml:space="preserve">. Se pueden buscar introduciendo el número correspondiente a la publicación en los campos “OMM/Nº” u “OMM/DT Nº”. </w:t>
      </w:r>
    </w:p>
    <w:p w14:paraId="6D769EC1" w14:textId="0F148574" w:rsidR="003E5D1B" w:rsidRPr="008357EA" w:rsidRDefault="00E26782">
      <w:pPr>
        <w:tabs>
          <w:tab w:val="clear" w:pos="1134"/>
          <w:tab w:val="left" w:pos="480"/>
        </w:tabs>
        <w:spacing w:after="240" w:line="240" w:lineRule="exact"/>
        <w:ind w:left="480" w:hanging="480"/>
        <w:rPr>
          <w:color w:val="000000" w:themeColor="text1"/>
          <w:szCs w:val="22"/>
          <w:lang w:val="es-419"/>
        </w:rPr>
      </w:pPr>
      <w:r>
        <w:rPr>
          <w:lang w:val="es-ES"/>
        </w:rPr>
        <w:t>a)</w:t>
      </w:r>
      <w:r>
        <w:rPr>
          <w:lang w:val="es-ES"/>
        </w:rPr>
        <w:tab/>
      </w:r>
      <w:r w:rsidR="00AA4882" w:rsidRPr="00AA4882">
        <w:rPr>
          <w:i/>
          <w:iCs/>
          <w:lang w:val="es-ES"/>
        </w:rPr>
        <w:t>Reglamento Técnico</w:t>
      </w:r>
      <w:r w:rsidR="00AA4882">
        <w:rPr>
          <w:lang w:val="es-ES"/>
        </w:rPr>
        <w:t xml:space="preserve"> (OMM</w:t>
      </w:r>
      <w:r w:rsidR="00EB4587">
        <w:rPr>
          <w:lang w:val="es-ES"/>
        </w:rPr>
        <w:noBreakHyphen/>
        <w:t>Nº</w:t>
      </w:r>
      <w:r w:rsidR="0093047C">
        <w:rPr>
          <w:lang w:val="es-ES"/>
        </w:rPr>
        <w:t> </w:t>
      </w:r>
      <w:r>
        <w:rPr>
          <w:lang w:val="es-ES"/>
        </w:rPr>
        <w:t xml:space="preserve">49), Volúmenes I a III* </w:t>
      </w:r>
    </w:p>
    <w:p w14:paraId="7AB53FBB" w14:textId="77777777" w:rsidR="003E5D1B" w:rsidRPr="008357EA" w:rsidRDefault="00E26782">
      <w:pPr>
        <w:tabs>
          <w:tab w:val="clear" w:pos="1134"/>
          <w:tab w:val="left" w:pos="480"/>
        </w:tabs>
        <w:spacing w:after="240" w:line="240" w:lineRule="exact"/>
        <w:ind w:left="480" w:hanging="480"/>
        <w:rPr>
          <w:color w:val="000000" w:themeColor="text1"/>
          <w:szCs w:val="22"/>
          <w:lang w:val="es-419"/>
        </w:rPr>
      </w:pPr>
      <w:r>
        <w:rPr>
          <w:lang w:val="es-ES"/>
        </w:rPr>
        <w:t>b)</w:t>
      </w:r>
      <w:r>
        <w:rPr>
          <w:lang w:val="es-ES"/>
        </w:rPr>
        <w:tab/>
        <w:t xml:space="preserve">Manuales: </w:t>
      </w:r>
    </w:p>
    <w:p w14:paraId="165ADF40" w14:textId="354A1886" w:rsidR="003E5D1B" w:rsidRPr="008357EA" w:rsidRDefault="00E26782">
      <w:pPr>
        <w:tabs>
          <w:tab w:val="clear" w:pos="1134"/>
          <w:tab w:val="left" w:pos="960"/>
        </w:tabs>
        <w:spacing w:after="240" w:line="240" w:lineRule="exact"/>
        <w:ind w:left="960" w:hanging="480"/>
        <w:rPr>
          <w:color w:val="000000" w:themeColor="text1"/>
          <w:szCs w:val="22"/>
          <w:lang w:val="es-419"/>
        </w:rPr>
      </w:pPr>
      <w:r>
        <w:rPr>
          <w:lang w:val="es-ES"/>
        </w:rPr>
        <w:lastRenderedPageBreak/>
        <w:t>i)</w:t>
      </w:r>
      <w:r>
        <w:rPr>
          <w:lang w:val="es-ES"/>
        </w:rPr>
        <w:tab/>
      </w:r>
      <w:r w:rsidR="002D6434" w:rsidRPr="002D6434">
        <w:rPr>
          <w:i/>
          <w:iCs/>
          <w:lang w:val="es-ES"/>
        </w:rPr>
        <w:t>Manual del Sistema Mundial de Proceso de Datos y de Predicción</w:t>
      </w:r>
      <w:r>
        <w:rPr>
          <w:lang w:val="es-ES"/>
        </w:rPr>
        <w:t xml:space="preserve"> (</w:t>
      </w:r>
      <w:r w:rsidR="00EB4587">
        <w:rPr>
          <w:lang w:val="es-ES"/>
        </w:rPr>
        <w:t>OMM</w:t>
      </w:r>
      <w:r w:rsidR="00EB4587">
        <w:rPr>
          <w:lang w:val="es-ES"/>
        </w:rPr>
        <w:noBreakHyphen/>
        <w:t>Nº</w:t>
      </w:r>
      <w:r w:rsidR="0093047C">
        <w:rPr>
          <w:lang w:val="es-ES"/>
        </w:rPr>
        <w:t> </w:t>
      </w:r>
      <w:r>
        <w:rPr>
          <w:lang w:val="es-ES"/>
        </w:rPr>
        <w:t>485)*</w:t>
      </w:r>
    </w:p>
    <w:p w14:paraId="37334689" w14:textId="3A15250F" w:rsidR="003E5D1B" w:rsidRPr="008357EA" w:rsidRDefault="00E26782">
      <w:pPr>
        <w:tabs>
          <w:tab w:val="clear" w:pos="1134"/>
          <w:tab w:val="left" w:pos="960"/>
        </w:tabs>
        <w:spacing w:after="240" w:line="240" w:lineRule="exact"/>
        <w:ind w:left="960" w:hanging="480"/>
        <w:rPr>
          <w:color w:val="000000" w:themeColor="text1"/>
          <w:szCs w:val="22"/>
          <w:lang w:val="es-419"/>
        </w:rPr>
      </w:pPr>
      <w:r>
        <w:rPr>
          <w:lang w:val="es-ES"/>
        </w:rPr>
        <w:t>ii)</w:t>
      </w:r>
      <w:r>
        <w:rPr>
          <w:lang w:val="es-ES"/>
        </w:rPr>
        <w:tab/>
      </w:r>
      <w:r w:rsidR="00CA1DA5" w:rsidRPr="00CA1DA5">
        <w:rPr>
          <w:i/>
          <w:iCs/>
          <w:lang w:val="es-ES"/>
        </w:rPr>
        <w:t>Manual del Sistema de Información de la OMM</w:t>
      </w:r>
      <w:r>
        <w:rPr>
          <w:lang w:val="es-ES"/>
        </w:rPr>
        <w:t xml:space="preserve"> (</w:t>
      </w:r>
      <w:r w:rsidR="00EB4587">
        <w:rPr>
          <w:lang w:val="es-ES"/>
        </w:rPr>
        <w:t>OMM</w:t>
      </w:r>
      <w:r w:rsidR="00EB4587">
        <w:rPr>
          <w:lang w:val="es-ES"/>
        </w:rPr>
        <w:noBreakHyphen/>
        <w:t>Nº</w:t>
      </w:r>
      <w:r w:rsidR="0093047C">
        <w:rPr>
          <w:lang w:val="es-ES"/>
        </w:rPr>
        <w:t> </w:t>
      </w:r>
      <w:r>
        <w:rPr>
          <w:lang w:val="es-ES"/>
        </w:rPr>
        <w:t>1060)</w:t>
      </w:r>
    </w:p>
    <w:p w14:paraId="4525B6A8" w14:textId="4B11B517" w:rsidR="003E5D1B" w:rsidRPr="008357EA" w:rsidRDefault="00E26782">
      <w:pPr>
        <w:tabs>
          <w:tab w:val="clear" w:pos="1134"/>
          <w:tab w:val="left" w:pos="960"/>
        </w:tabs>
        <w:spacing w:after="240" w:line="240" w:lineRule="exact"/>
        <w:ind w:left="960" w:hanging="480"/>
        <w:rPr>
          <w:color w:val="000000" w:themeColor="text1"/>
          <w:szCs w:val="22"/>
          <w:lang w:val="es-419"/>
        </w:rPr>
      </w:pPr>
      <w:r>
        <w:rPr>
          <w:lang w:val="es-ES"/>
        </w:rPr>
        <w:t>iii)</w:t>
      </w:r>
      <w:r>
        <w:rPr>
          <w:lang w:val="es-ES"/>
        </w:rPr>
        <w:tab/>
      </w:r>
      <w:r w:rsidR="004257B8" w:rsidRPr="004257B8">
        <w:rPr>
          <w:i/>
          <w:iCs/>
          <w:lang w:val="es-ES"/>
        </w:rPr>
        <w:t>Manual del Sistema Mundial Integrado de Sistemas de Observación de la OMM</w:t>
      </w:r>
      <w:r>
        <w:rPr>
          <w:lang w:val="es-ES"/>
        </w:rPr>
        <w:t xml:space="preserve"> (OMM­</w:t>
      </w:r>
      <w:r w:rsidR="0093047C" w:rsidRPr="00CA1DA5">
        <w:rPr>
          <w:lang w:val="es-ES"/>
        </w:rPr>
        <w:t>Nº </w:t>
      </w:r>
      <w:r>
        <w:rPr>
          <w:lang w:val="es-ES"/>
        </w:rPr>
        <w:t>1160)</w:t>
      </w:r>
    </w:p>
    <w:p w14:paraId="52DD3069" w14:textId="753567E0" w:rsidR="003E5D1B" w:rsidRPr="008357EA" w:rsidRDefault="00E26782">
      <w:pPr>
        <w:tabs>
          <w:tab w:val="clear" w:pos="1134"/>
          <w:tab w:val="left" w:pos="960"/>
        </w:tabs>
        <w:spacing w:after="240" w:line="240" w:lineRule="exact"/>
        <w:ind w:left="960" w:hanging="480"/>
        <w:rPr>
          <w:color w:val="000000" w:themeColor="text1"/>
          <w:szCs w:val="22"/>
          <w:lang w:val="es-419"/>
        </w:rPr>
      </w:pPr>
      <w:r>
        <w:rPr>
          <w:lang w:val="es-ES"/>
        </w:rPr>
        <w:t>iv)</w:t>
      </w:r>
      <w:r>
        <w:rPr>
          <w:lang w:val="es-ES"/>
        </w:rPr>
        <w:tab/>
      </w:r>
      <w:r w:rsidR="00CA1DA5" w:rsidRPr="00CA1DA5">
        <w:rPr>
          <w:i/>
          <w:iCs/>
          <w:lang w:val="es-ES"/>
        </w:rPr>
        <w:t>Manual del Sistema Mundial de Observación</w:t>
      </w:r>
      <w:r>
        <w:rPr>
          <w:lang w:val="es-ES"/>
        </w:rPr>
        <w:t xml:space="preserve"> (OMM-N</w:t>
      </w:r>
      <w:r w:rsidR="00CA1DA5">
        <w:rPr>
          <w:lang w:val="es-ES"/>
        </w:rPr>
        <w:t>º</w:t>
      </w:r>
      <w:r>
        <w:rPr>
          <w:lang w:val="es-ES"/>
        </w:rPr>
        <w:t xml:space="preserve"> 544), volumen I</w:t>
      </w:r>
    </w:p>
    <w:p w14:paraId="0A96FCC5" w14:textId="5EF36286" w:rsidR="003E5D1B" w:rsidRPr="008357EA" w:rsidRDefault="00E26782">
      <w:pPr>
        <w:tabs>
          <w:tab w:val="clear" w:pos="1134"/>
          <w:tab w:val="left" w:pos="960"/>
        </w:tabs>
        <w:spacing w:after="240" w:line="240" w:lineRule="exact"/>
        <w:ind w:left="960" w:hanging="480"/>
        <w:rPr>
          <w:color w:val="000000" w:themeColor="text1"/>
          <w:szCs w:val="22"/>
          <w:lang w:val="es-419"/>
        </w:rPr>
      </w:pPr>
      <w:r>
        <w:rPr>
          <w:lang w:val="es-ES"/>
        </w:rPr>
        <w:t>v)</w:t>
      </w:r>
      <w:r>
        <w:rPr>
          <w:lang w:val="es-ES"/>
        </w:rPr>
        <w:tab/>
      </w:r>
      <w:r w:rsidR="00CA1DA5" w:rsidRPr="00CA1DA5">
        <w:rPr>
          <w:i/>
          <w:iCs/>
          <w:lang w:val="es-ES"/>
        </w:rPr>
        <w:t>Manual de servicios meteorológicos marinos</w:t>
      </w:r>
      <w:r>
        <w:rPr>
          <w:lang w:val="es-ES"/>
        </w:rPr>
        <w:t xml:space="preserve"> (</w:t>
      </w:r>
      <w:r w:rsidR="00EB4587">
        <w:rPr>
          <w:lang w:val="es-ES"/>
        </w:rPr>
        <w:t>OMM</w:t>
      </w:r>
      <w:r w:rsidR="00EB4587">
        <w:rPr>
          <w:lang w:val="es-ES"/>
        </w:rPr>
        <w:noBreakHyphen/>
        <w:t>Nº</w:t>
      </w:r>
      <w:r w:rsidR="0093047C">
        <w:rPr>
          <w:lang w:val="es-ES"/>
        </w:rPr>
        <w:t> </w:t>
      </w:r>
      <w:r>
        <w:rPr>
          <w:lang w:val="es-ES"/>
        </w:rPr>
        <w:t>558), volumen I;</w:t>
      </w:r>
    </w:p>
    <w:p w14:paraId="5D6BD620" w14:textId="77777777" w:rsidR="003E5D1B" w:rsidRPr="008357EA" w:rsidRDefault="00E26782">
      <w:pPr>
        <w:tabs>
          <w:tab w:val="clear" w:pos="1134"/>
          <w:tab w:val="left" w:pos="480"/>
        </w:tabs>
        <w:spacing w:after="240" w:line="240" w:lineRule="exact"/>
        <w:ind w:left="480" w:hanging="480"/>
        <w:rPr>
          <w:color w:val="000000" w:themeColor="text1"/>
          <w:szCs w:val="22"/>
          <w:lang w:val="es-419"/>
        </w:rPr>
      </w:pPr>
      <w:r>
        <w:rPr>
          <w:lang w:val="es-ES"/>
        </w:rPr>
        <w:t>c)</w:t>
      </w:r>
      <w:r>
        <w:rPr>
          <w:lang w:val="es-ES"/>
        </w:rPr>
        <w:tab/>
        <w:t xml:space="preserve">Guías: </w:t>
      </w:r>
    </w:p>
    <w:p w14:paraId="0D026B2F" w14:textId="77777777" w:rsidR="003E5D1B" w:rsidRPr="008357EA" w:rsidRDefault="00E26782">
      <w:pPr>
        <w:tabs>
          <w:tab w:val="clear" w:pos="1134"/>
          <w:tab w:val="left" w:pos="960"/>
        </w:tabs>
        <w:spacing w:after="240" w:line="240" w:lineRule="exact"/>
        <w:ind w:left="960" w:hanging="480"/>
        <w:rPr>
          <w:color w:val="000000" w:themeColor="text1"/>
          <w:szCs w:val="22"/>
          <w:lang w:val="es-419"/>
        </w:rPr>
      </w:pPr>
      <w:r>
        <w:rPr>
          <w:lang w:val="es-ES"/>
        </w:rPr>
        <w:t>i)</w:t>
      </w:r>
      <w:r>
        <w:rPr>
          <w:lang w:val="es-ES"/>
        </w:rPr>
        <w:tab/>
      </w:r>
      <w:r w:rsidRPr="00CA1DA5">
        <w:rPr>
          <w:i/>
          <w:iCs/>
          <w:lang w:val="es-ES"/>
        </w:rPr>
        <w:t>Guía de prácticas de servicios meteorológicos para el público</w:t>
      </w:r>
      <w:r>
        <w:rPr>
          <w:lang w:val="es-ES"/>
        </w:rPr>
        <w:t xml:space="preserve"> (OMM-No. 834)</w:t>
      </w:r>
    </w:p>
    <w:p w14:paraId="30D6B095" w14:textId="072DAE65" w:rsidR="003E5D1B" w:rsidRPr="008357EA" w:rsidRDefault="00E26782">
      <w:pPr>
        <w:tabs>
          <w:tab w:val="clear" w:pos="1134"/>
          <w:tab w:val="left" w:pos="960"/>
        </w:tabs>
        <w:spacing w:after="240" w:line="240" w:lineRule="exact"/>
        <w:ind w:left="960" w:hanging="480"/>
        <w:rPr>
          <w:color w:val="000000" w:themeColor="text1"/>
          <w:szCs w:val="22"/>
          <w:lang w:val="es-419"/>
        </w:rPr>
      </w:pPr>
      <w:r>
        <w:rPr>
          <w:lang w:val="es-ES"/>
        </w:rPr>
        <w:t>ii)</w:t>
      </w:r>
      <w:r>
        <w:rPr>
          <w:lang w:val="es-ES"/>
        </w:rPr>
        <w:tab/>
      </w:r>
      <w:r w:rsidRPr="00CA1DA5">
        <w:rPr>
          <w:i/>
          <w:iCs/>
          <w:lang w:val="es-ES"/>
        </w:rPr>
        <w:t>Guía de prácticas climatológicas</w:t>
      </w:r>
      <w:r>
        <w:rPr>
          <w:lang w:val="es-ES"/>
        </w:rPr>
        <w:t xml:space="preserve"> (</w:t>
      </w:r>
      <w:r w:rsidR="00EB4587">
        <w:rPr>
          <w:lang w:val="es-ES"/>
        </w:rPr>
        <w:t>OMM</w:t>
      </w:r>
      <w:r w:rsidR="00EB4587">
        <w:rPr>
          <w:lang w:val="es-ES"/>
        </w:rPr>
        <w:noBreakHyphen/>
        <w:t>Nº</w:t>
      </w:r>
      <w:r w:rsidR="0093047C">
        <w:rPr>
          <w:lang w:val="es-ES"/>
        </w:rPr>
        <w:t> </w:t>
      </w:r>
      <w:r>
        <w:rPr>
          <w:lang w:val="es-ES"/>
        </w:rPr>
        <w:t>100)</w:t>
      </w:r>
    </w:p>
    <w:p w14:paraId="37411B0C" w14:textId="109D0AAC" w:rsidR="003E5D1B" w:rsidRPr="008357EA" w:rsidRDefault="00E26782">
      <w:pPr>
        <w:tabs>
          <w:tab w:val="clear" w:pos="1134"/>
          <w:tab w:val="left" w:pos="960"/>
        </w:tabs>
        <w:spacing w:after="240" w:line="240" w:lineRule="exact"/>
        <w:ind w:left="960" w:hanging="480"/>
        <w:rPr>
          <w:color w:val="000000" w:themeColor="text1"/>
          <w:szCs w:val="22"/>
          <w:lang w:val="es-419"/>
        </w:rPr>
      </w:pPr>
      <w:r>
        <w:rPr>
          <w:lang w:val="es-ES"/>
        </w:rPr>
        <w:t>iii)</w:t>
      </w:r>
      <w:r>
        <w:rPr>
          <w:lang w:val="es-ES"/>
        </w:rPr>
        <w:tab/>
      </w:r>
      <w:r>
        <w:rPr>
          <w:i/>
          <w:iCs/>
          <w:lang w:val="es-ES"/>
        </w:rPr>
        <w:t>Guide to Agricultural Meteorological Practices</w:t>
      </w:r>
      <w:r>
        <w:rPr>
          <w:lang w:val="es-ES"/>
        </w:rPr>
        <w:t xml:space="preserve"> (WMO-</w:t>
      </w:r>
      <w:r w:rsidR="0093047C" w:rsidRPr="00CA1DA5">
        <w:rPr>
          <w:lang w:val="es-ES"/>
        </w:rPr>
        <w:t>Nº</w:t>
      </w:r>
      <w:r w:rsidR="0093047C">
        <w:rPr>
          <w:lang w:val="es-ES"/>
        </w:rPr>
        <w:t> </w:t>
      </w:r>
      <w:r>
        <w:rPr>
          <w:lang w:val="es-ES"/>
        </w:rPr>
        <w:t xml:space="preserve">134) (Guía de Prácticas Agrometeorológicas) </w:t>
      </w:r>
    </w:p>
    <w:p w14:paraId="57B769CF" w14:textId="43282C3A" w:rsidR="003E5D1B" w:rsidRPr="008357EA" w:rsidRDefault="00E26782">
      <w:pPr>
        <w:tabs>
          <w:tab w:val="clear" w:pos="1134"/>
          <w:tab w:val="left" w:pos="960"/>
        </w:tabs>
        <w:spacing w:after="240" w:line="240" w:lineRule="exact"/>
        <w:ind w:left="960" w:hanging="480"/>
        <w:rPr>
          <w:color w:val="000000" w:themeColor="text1"/>
          <w:szCs w:val="22"/>
          <w:lang w:val="es-419"/>
        </w:rPr>
      </w:pPr>
      <w:r>
        <w:rPr>
          <w:lang w:val="es-ES"/>
        </w:rPr>
        <w:t>iv)</w:t>
      </w:r>
      <w:r>
        <w:rPr>
          <w:lang w:val="es-ES"/>
        </w:rPr>
        <w:tab/>
      </w:r>
      <w:r w:rsidRPr="00CA1DA5">
        <w:rPr>
          <w:i/>
          <w:iCs/>
          <w:lang w:val="es-ES"/>
        </w:rPr>
        <w:t>Guía de prácticas hidrológicas</w:t>
      </w:r>
      <w:r>
        <w:rPr>
          <w:lang w:val="es-ES"/>
        </w:rPr>
        <w:t xml:space="preserve"> (</w:t>
      </w:r>
      <w:r w:rsidR="00EB4587">
        <w:rPr>
          <w:lang w:val="es-ES"/>
        </w:rPr>
        <w:t>OMM</w:t>
      </w:r>
      <w:r w:rsidR="00EB4587">
        <w:rPr>
          <w:lang w:val="es-ES"/>
        </w:rPr>
        <w:noBreakHyphen/>
        <w:t>Nº</w:t>
      </w:r>
      <w:r w:rsidR="0093047C">
        <w:rPr>
          <w:lang w:val="es-ES"/>
        </w:rPr>
        <w:t> </w:t>
      </w:r>
      <w:r>
        <w:rPr>
          <w:lang w:val="es-ES"/>
        </w:rPr>
        <w:t xml:space="preserve">168), volumen I </w:t>
      </w:r>
    </w:p>
    <w:p w14:paraId="32630ADC" w14:textId="59FE7BE7" w:rsidR="003E5D1B" w:rsidRPr="008357EA" w:rsidRDefault="00E26782">
      <w:pPr>
        <w:tabs>
          <w:tab w:val="clear" w:pos="1134"/>
          <w:tab w:val="left" w:pos="960"/>
        </w:tabs>
        <w:spacing w:after="240" w:line="240" w:lineRule="exact"/>
        <w:ind w:left="960" w:hanging="480"/>
        <w:jc w:val="left"/>
        <w:rPr>
          <w:color w:val="000000" w:themeColor="text1"/>
          <w:szCs w:val="22"/>
          <w:lang w:val="es-419"/>
        </w:rPr>
      </w:pPr>
      <w:r>
        <w:rPr>
          <w:lang w:val="es-ES"/>
        </w:rPr>
        <w:t>v)</w:t>
      </w:r>
      <w:r>
        <w:rPr>
          <w:lang w:val="es-ES"/>
        </w:rPr>
        <w:tab/>
      </w:r>
      <w:r w:rsidRPr="00CA1DA5">
        <w:rPr>
          <w:i/>
          <w:iCs/>
          <w:lang w:val="es-ES"/>
        </w:rPr>
        <w:t>Guía de servicios meteorológicos marinos</w:t>
      </w:r>
      <w:r>
        <w:rPr>
          <w:lang w:val="es-ES"/>
        </w:rPr>
        <w:t xml:space="preserve"> (</w:t>
      </w:r>
      <w:r w:rsidR="00EB4587">
        <w:rPr>
          <w:lang w:val="es-ES"/>
        </w:rPr>
        <w:t>OMM</w:t>
      </w:r>
      <w:r w:rsidR="00EB4587">
        <w:rPr>
          <w:lang w:val="es-ES"/>
        </w:rPr>
        <w:noBreakHyphen/>
        <w:t>Nº</w:t>
      </w:r>
      <w:r w:rsidR="0093047C">
        <w:rPr>
          <w:lang w:val="es-ES"/>
        </w:rPr>
        <w:t> </w:t>
      </w:r>
      <w:r>
        <w:rPr>
          <w:lang w:val="es-ES"/>
        </w:rPr>
        <w:t>471)</w:t>
      </w:r>
    </w:p>
    <w:p w14:paraId="1CA4598A" w14:textId="4CD8D366" w:rsidR="003E5D1B" w:rsidRPr="008357EA" w:rsidRDefault="00E26782">
      <w:pPr>
        <w:tabs>
          <w:tab w:val="clear" w:pos="1134"/>
          <w:tab w:val="left" w:pos="960"/>
        </w:tabs>
        <w:spacing w:after="240" w:line="240" w:lineRule="exact"/>
        <w:ind w:left="960" w:hanging="480"/>
        <w:rPr>
          <w:color w:val="000000" w:themeColor="text1"/>
          <w:szCs w:val="22"/>
          <w:lang w:val="es-419"/>
        </w:rPr>
      </w:pPr>
      <w:r w:rsidRPr="008357EA">
        <w:rPr>
          <w:lang w:val="en-US"/>
        </w:rPr>
        <w:t>vi)</w:t>
      </w:r>
      <w:r w:rsidRPr="008357EA">
        <w:rPr>
          <w:lang w:val="en-US"/>
        </w:rPr>
        <w:tab/>
      </w:r>
      <w:r w:rsidRPr="008357EA">
        <w:rPr>
          <w:i/>
          <w:iCs/>
          <w:lang w:val="en-US"/>
        </w:rPr>
        <w:t>Global Guide to Tropical Cyclone Forecasting</w:t>
      </w:r>
      <w:r w:rsidRPr="008357EA">
        <w:rPr>
          <w:lang w:val="en-US"/>
        </w:rPr>
        <w:t xml:space="preserve"> (</w:t>
      </w:r>
      <w:r w:rsidR="00CA1DA5">
        <w:rPr>
          <w:lang w:val="en-US"/>
        </w:rPr>
        <w:t>WMO-No. </w:t>
      </w:r>
      <w:r>
        <w:rPr>
          <w:lang w:val="es-ES"/>
        </w:rPr>
        <w:t>1194) (Guía mundial de predicción de ciclones tropicales)</w:t>
      </w:r>
    </w:p>
    <w:p w14:paraId="680BBEC6" w14:textId="59250A51" w:rsidR="003E5D1B" w:rsidRPr="008357EA" w:rsidRDefault="00E26782">
      <w:pPr>
        <w:tabs>
          <w:tab w:val="clear" w:pos="1134"/>
          <w:tab w:val="left" w:pos="960"/>
        </w:tabs>
        <w:spacing w:after="240" w:line="240" w:lineRule="exact"/>
        <w:ind w:left="960" w:hanging="480"/>
        <w:rPr>
          <w:color w:val="000000" w:themeColor="text1"/>
          <w:szCs w:val="22"/>
          <w:lang w:val="es-419"/>
        </w:rPr>
      </w:pPr>
      <w:r>
        <w:rPr>
          <w:lang w:val="es-ES"/>
        </w:rPr>
        <w:t>vii)</w:t>
      </w:r>
      <w:r>
        <w:rPr>
          <w:lang w:val="es-ES"/>
        </w:rPr>
        <w:tab/>
      </w:r>
      <w:r w:rsidRPr="00CA1DA5">
        <w:rPr>
          <w:i/>
          <w:iCs/>
          <w:lang w:val="es-ES"/>
        </w:rPr>
        <w:t>Guía del sistema de gestión de la calidad para el suministro de servicios meteorológicos para la navegación aérea internacional</w:t>
      </w:r>
      <w:r>
        <w:rPr>
          <w:lang w:val="es-ES"/>
        </w:rPr>
        <w:t xml:space="preserve"> (</w:t>
      </w:r>
      <w:r w:rsidR="00EB4587">
        <w:rPr>
          <w:lang w:val="es-ES"/>
        </w:rPr>
        <w:t>OMM</w:t>
      </w:r>
      <w:r w:rsidR="00EB4587">
        <w:rPr>
          <w:lang w:val="es-ES"/>
        </w:rPr>
        <w:noBreakHyphen/>
        <w:t>Nº</w:t>
      </w:r>
      <w:r w:rsidR="0093047C">
        <w:rPr>
          <w:lang w:val="es-ES"/>
        </w:rPr>
        <w:t> </w:t>
      </w:r>
      <w:r>
        <w:rPr>
          <w:lang w:val="es-ES"/>
        </w:rPr>
        <w:t xml:space="preserve">1001) </w:t>
      </w:r>
    </w:p>
    <w:p w14:paraId="25A2A240" w14:textId="4616A98E" w:rsidR="003E5D1B" w:rsidRPr="008357EA" w:rsidRDefault="00E26782">
      <w:pPr>
        <w:tabs>
          <w:tab w:val="clear" w:pos="1134"/>
          <w:tab w:val="left" w:pos="960"/>
        </w:tabs>
        <w:spacing w:after="240" w:line="240" w:lineRule="exact"/>
        <w:ind w:left="960" w:hanging="480"/>
        <w:rPr>
          <w:color w:val="000000" w:themeColor="text1"/>
          <w:szCs w:val="22"/>
          <w:lang w:val="es-419"/>
        </w:rPr>
      </w:pPr>
      <w:r>
        <w:rPr>
          <w:lang w:val="es-ES"/>
        </w:rPr>
        <w:t xml:space="preserve">viii) </w:t>
      </w:r>
      <w:r w:rsidR="00B54B54" w:rsidRPr="00B54B54">
        <w:rPr>
          <w:i/>
          <w:iCs/>
          <w:lang w:val="es-ES"/>
        </w:rPr>
        <w:t>Guía para la aplicación de sistemas de gestión de la calidad para los Servicios Meteorológicos e Hidrológicos Nacionales y otros proveedores de servicios pertinentes</w:t>
      </w:r>
      <w:r w:rsidR="00B54B54">
        <w:rPr>
          <w:lang w:val="es-ES"/>
        </w:rPr>
        <w:t xml:space="preserve"> (OMM</w:t>
      </w:r>
      <w:r>
        <w:rPr>
          <w:lang w:val="es-ES"/>
        </w:rPr>
        <w:t xml:space="preserve">-No. 1100) </w:t>
      </w:r>
    </w:p>
    <w:p w14:paraId="6B372F70" w14:textId="07097E20" w:rsidR="003E5D1B" w:rsidRPr="008357EA" w:rsidRDefault="00E26782">
      <w:pPr>
        <w:tabs>
          <w:tab w:val="clear" w:pos="1134"/>
          <w:tab w:val="left" w:pos="960"/>
        </w:tabs>
        <w:spacing w:after="240" w:line="240" w:lineRule="exact"/>
        <w:ind w:left="960" w:hanging="480"/>
        <w:rPr>
          <w:color w:val="000000" w:themeColor="text1"/>
          <w:szCs w:val="22"/>
          <w:lang w:val="es-419"/>
        </w:rPr>
      </w:pPr>
      <w:r>
        <w:rPr>
          <w:lang w:val="es-ES"/>
        </w:rPr>
        <w:t>ix)</w:t>
      </w:r>
      <w:r>
        <w:rPr>
          <w:lang w:val="es-ES"/>
        </w:rPr>
        <w:tab/>
      </w:r>
      <w:r w:rsidR="00453681" w:rsidRPr="00453681">
        <w:rPr>
          <w:i/>
          <w:iCs/>
          <w:lang w:val="es-ES"/>
        </w:rPr>
        <w:t>Guía del Sistema Mundial Integrado de Sistemas de Observación de la OMM</w:t>
      </w:r>
      <w:r w:rsidR="00453681">
        <w:rPr>
          <w:lang w:val="es-ES"/>
        </w:rPr>
        <w:t xml:space="preserve"> (</w:t>
      </w:r>
      <w:r w:rsidR="00CA1DA5">
        <w:rPr>
          <w:lang w:val="es-ES"/>
        </w:rPr>
        <w:t>OMM</w:t>
      </w:r>
      <w:r w:rsidR="00CA1DA5">
        <w:rPr>
          <w:lang w:val="es-ES"/>
        </w:rPr>
        <w:noBreakHyphen/>
        <w:t>Nº</w:t>
      </w:r>
      <w:r w:rsidR="0093047C">
        <w:rPr>
          <w:lang w:val="es-ES"/>
        </w:rPr>
        <w:t> </w:t>
      </w:r>
      <w:r>
        <w:rPr>
          <w:lang w:val="es-ES"/>
        </w:rPr>
        <w:t>1160)</w:t>
      </w:r>
    </w:p>
    <w:p w14:paraId="3F23D2C0" w14:textId="1643AB27" w:rsidR="003E5D1B" w:rsidRPr="008357EA" w:rsidRDefault="00E26782">
      <w:pPr>
        <w:tabs>
          <w:tab w:val="clear" w:pos="1134"/>
          <w:tab w:val="left" w:pos="960"/>
        </w:tabs>
        <w:spacing w:after="240" w:line="240" w:lineRule="exact"/>
        <w:ind w:left="960" w:hanging="480"/>
        <w:rPr>
          <w:color w:val="000000" w:themeColor="text1"/>
          <w:szCs w:val="22"/>
          <w:lang w:val="es-419"/>
        </w:rPr>
      </w:pPr>
      <w:r>
        <w:rPr>
          <w:lang w:val="es-ES"/>
        </w:rPr>
        <w:t>x)</w:t>
      </w:r>
      <w:r>
        <w:rPr>
          <w:lang w:val="es-ES"/>
        </w:rPr>
        <w:tab/>
      </w:r>
      <w:r w:rsidR="00453681" w:rsidRPr="00453681">
        <w:rPr>
          <w:i/>
          <w:iCs/>
          <w:lang w:val="es-ES"/>
        </w:rPr>
        <w:t>Guía del Sistema de Información de la OMM</w:t>
      </w:r>
      <w:r w:rsidR="00453681">
        <w:rPr>
          <w:lang w:val="es-ES"/>
        </w:rPr>
        <w:t xml:space="preserve"> (</w:t>
      </w:r>
      <w:r w:rsidR="00CA1DA5">
        <w:rPr>
          <w:lang w:val="es-ES"/>
        </w:rPr>
        <w:t>OMM</w:t>
      </w:r>
      <w:r w:rsidR="00CA1DA5">
        <w:rPr>
          <w:lang w:val="es-ES"/>
        </w:rPr>
        <w:noBreakHyphen/>
        <w:t>Nº</w:t>
      </w:r>
      <w:r w:rsidR="0093047C">
        <w:rPr>
          <w:lang w:val="es-ES"/>
        </w:rPr>
        <w:t> </w:t>
      </w:r>
      <w:r>
        <w:rPr>
          <w:lang w:val="es-ES"/>
        </w:rPr>
        <w:t xml:space="preserve">1061) </w:t>
      </w:r>
    </w:p>
    <w:p w14:paraId="5C58DB5A" w14:textId="74A00BD7" w:rsidR="003E5D1B" w:rsidRPr="008357EA" w:rsidRDefault="00E26782">
      <w:pPr>
        <w:tabs>
          <w:tab w:val="clear" w:pos="1134"/>
          <w:tab w:val="left" w:pos="960"/>
        </w:tabs>
        <w:spacing w:after="240" w:line="240" w:lineRule="exact"/>
        <w:ind w:left="960" w:hanging="480"/>
        <w:rPr>
          <w:color w:val="000000" w:themeColor="text1"/>
          <w:szCs w:val="22"/>
          <w:lang w:val="es-419"/>
        </w:rPr>
      </w:pPr>
      <w:r>
        <w:rPr>
          <w:lang w:val="es-ES"/>
        </w:rPr>
        <w:t>xi)</w:t>
      </w:r>
      <w:r>
        <w:rPr>
          <w:lang w:val="es-ES"/>
        </w:rPr>
        <w:tab/>
      </w:r>
      <w:r w:rsidRPr="00CA1DA5">
        <w:rPr>
          <w:i/>
          <w:iCs/>
          <w:lang w:val="es-ES"/>
        </w:rPr>
        <w:t>Guía para la aplicación de normas de enseñanza y formación profesional en meteorología e hidrología</w:t>
      </w:r>
      <w:r>
        <w:rPr>
          <w:lang w:val="es-ES"/>
        </w:rPr>
        <w:t xml:space="preserve"> (</w:t>
      </w:r>
      <w:r w:rsidR="00EB4587">
        <w:rPr>
          <w:lang w:val="es-ES"/>
        </w:rPr>
        <w:t>OMM</w:t>
      </w:r>
      <w:r w:rsidR="00EB4587">
        <w:rPr>
          <w:lang w:val="es-ES"/>
        </w:rPr>
        <w:noBreakHyphen/>
        <w:t>Nº</w:t>
      </w:r>
      <w:r>
        <w:rPr>
          <w:lang w:val="es-ES"/>
        </w:rPr>
        <w:t xml:space="preserve"> 1083), volumen I </w:t>
      </w:r>
    </w:p>
    <w:p w14:paraId="57E3F019" w14:textId="77777777" w:rsidR="003E5D1B" w:rsidRPr="008357EA" w:rsidRDefault="00E26782">
      <w:pPr>
        <w:tabs>
          <w:tab w:val="clear" w:pos="1134"/>
          <w:tab w:val="left" w:pos="960"/>
        </w:tabs>
        <w:spacing w:after="240" w:line="240" w:lineRule="exact"/>
        <w:ind w:left="960" w:hanging="480"/>
        <w:rPr>
          <w:color w:val="000000" w:themeColor="text1"/>
          <w:szCs w:val="22"/>
          <w:lang w:val="es-419"/>
        </w:rPr>
      </w:pPr>
      <w:r>
        <w:rPr>
          <w:lang w:val="es-ES"/>
        </w:rPr>
        <w:t>xii)</w:t>
      </w:r>
      <w:r>
        <w:rPr>
          <w:lang w:val="es-ES"/>
        </w:rPr>
        <w:tab/>
      </w:r>
      <w:r w:rsidRPr="00CA1DA5">
        <w:rPr>
          <w:i/>
          <w:iCs/>
          <w:lang w:val="es-ES"/>
        </w:rPr>
        <w:t>Guía sobre competencias</w:t>
      </w:r>
      <w:r>
        <w:rPr>
          <w:lang w:val="es-ES"/>
        </w:rPr>
        <w:t xml:space="preserve"> (OMM-No. 1205)</w:t>
      </w:r>
    </w:p>
    <w:p w14:paraId="5E7ED834" w14:textId="65B4FE5F" w:rsidR="003E5D1B" w:rsidRPr="008357EA" w:rsidRDefault="00E26782">
      <w:pPr>
        <w:tabs>
          <w:tab w:val="clear" w:pos="1134"/>
          <w:tab w:val="left" w:pos="480"/>
        </w:tabs>
        <w:spacing w:after="240" w:line="240" w:lineRule="exact"/>
        <w:ind w:left="480" w:hanging="480"/>
        <w:rPr>
          <w:color w:val="000000" w:themeColor="text1"/>
          <w:szCs w:val="22"/>
          <w:lang w:val="es-419"/>
        </w:rPr>
      </w:pPr>
      <w:r>
        <w:rPr>
          <w:lang w:val="es-ES"/>
        </w:rPr>
        <w:t>d)</w:t>
      </w:r>
      <w:r>
        <w:rPr>
          <w:lang w:val="es-ES"/>
        </w:rPr>
        <w:tab/>
        <w:t xml:space="preserve">Directrices, documentos técnicos y notas técnicas del GDPFS (estas publicaciones también están disponibles en </w:t>
      </w:r>
      <w:hyperlink r:id="rId26" w:history="1">
        <w:r w:rsidRPr="00B97BF0">
          <w:rPr>
            <w:rStyle w:val="Hyperlink"/>
            <w:lang w:val="es-ES"/>
          </w:rPr>
          <w:t>la página de la extranet de la OMM</w:t>
        </w:r>
        <w:r w:rsidR="00B97BF0" w:rsidRPr="00B97BF0">
          <w:rPr>
            <w:rStyle w:val="Hyperlink"/>
            <w:lang w:val="es-ES"/>
          </w:rPr>
          <w:t xml:space="preserve"> correspondiente al GDPFS</w:t>
        </w:r>
      </w:hyperlink>
      <w:r w:rsidR="00B97BF0">
        <w:rPr>
          <w:lang w:val="es-ES"/>
        </w:rPr>
        <w:t>):</w:t>
      </w:r>
    </w:p>
    <w:p w14:paraId="43393D06" w14:textId="77777777" w:rsidR="003E5D1B" w:rsidRPr="008357EA" w:rsidRDefault="00E26782">
      <w:pPr>
        <w:tabs>
          <w:tab w:val="clear" w:pos="1134"/>
          <w:tab w:val="left" w:pos="960"/>
        </w:tabs>
        <w:spacing w:after="240" w:line="240" w:lineRule="exact"/>
        <w:ind w:left="960" w:hanging="480"/>
        <w:rPr>
          <w:color w:val="000000" w:themeColor="text1"/>
          <w:szCs w:val="22"/>
          <w:lang w:val="es-419"/>
        </w:rPr>
      </w:pPr>
      <w:r>
        <w:rPr>
          <w:lang w:val="es-ES"/>
        </w:rPr>
        <w:t>i)</w:t>
      </w:r>
      <w:r>
        <w:rPr>
          <w:lang w:val="es-ES"/>
        </w:rPr>
        <w:tab/>
      </w:r>
      <w:r w:rsidRPr="00EA685F">
        <w:rPr>
          <w:i/>
          <w:iCs/>
          <w:lang w:val="es-ES"/>
        </w:rPr>
        <w:t xml:space="preserve">Collaborative Framework of Seamless GDPFS </w:t>
      </w:r>
      <w:r>
        <w:rPr>
          <w:lang w:val="es-ES"/>
        </w:rPr>
        <w:t>(Marco de colaboración del GDPFS sin Discontinuidad)</w:t>
      </w:r>
    </w:p>
    <w:p w14:paraId="05E6EBDF" w14:textId="1BEECDDE" w:rsidR="003E5D1B" w:rsidRPr="008357EA" w:rsidRDefault="00E26782">
      <w:pPr>
        <w:tabs>
          <w:tab w:val="clear" w:pos="1134"/>
          <w:tab w:val="left" w:pos="960"/>
        </w:tabs>
        <w:spacing w:after="240" w:line="240" w:lineRule="exact"/>
        <w:ind w:left="960" w:hanging="480"/>
        <w:rPr>
          <w:color w:val="000000" w:themeColor="text1"/>
          <w:szCs w:val="22"/>
          <w:lang w:val="es-419"/>
        </w:rPr>
      </w:pPr>
      <w:r>
        <w:rPr>
          <w:lang w:val="es-ES"/>
        </w:rPr>
        <w:t>ii)</w:t>
      </w:r>
      <w:r>
        <w:rPr>
          <w:lang w:val="es-ES"/>
        </w:rPr>
        <w:tab/>
      </w:r>
      <w:r w:rsidRPr="00EA685F">
        <w:rPr>
          <w:i/>
          <w:iCs/>
          <w:lang w:val="es-ES"/>
        </w:rPr>
        <w:t>Directrices sobre los sistemas de predicción por conjuntos y la predicción</w:t>
      </w:r>
      <w:r>
        <w:rPr>
          <w:lang w:val="es-ES"/>
        </w:rPr>
        <w:t xml:space="preserve"> (</w:t>
      </w:r>
      <w:r w:rsidR="00EB4587">
        <w:rPr>
          <w:lang w:val="es-ES"/>
        </w:rPr>
        <w:t>OMM</w:t>
      </w:r>
      <w:r w:rsidR="00EB4587">
        <w:rPr>
          <w:lang w:val="es-ES"/>
        </w:rPr>
        <w:noBreakHyphen/>
        <w:t>Nº</w:t>
      </w:r>
      <w:r w:rsidR="0093047C">
        <w:rPr>
          <w:lang w:val="es-ES"/>
        </w:rPr>
        <w:t> </w:t>
      </w:r>
      <w:r>
        <w:rPr>
          <w:lang w:val="es-ES"/>
        </w:rPr>
        <w:t>1091)</w:t>
      </w:r>
    </w:p>
    <w:p w14:paraId="06F37194" w14:textId="490462F8" w:rsidR="003E5D1B" w:rsidRPr="008357EA" w:rsidRDefault="00E26782">
      <w:pPr>
        <w:tabs>
          <w:tab w:val="clear" w:pos="1134"/>
          <w:tab w:val="left" w:pos="960"/>
        </w:tabs>
        <w:spacing w:after="240" w:line="240" w:lineRule="exact"/>
        <w:ind w:left="960" w:hanging="480"/>
        <w:rPr>
          <w:color w:val="000000" w:themeColor="text1"/>
          <w:szCs w:val="22"/>
          <w:lang w:val="es-419"/>
        </w:rPr>
      </w:pPr>
      <w:r w:rsidRPr="008357EA">
        <w:rPr>
          <w:lang w:val="en-US"/>
        </w:rPr>
        <w:t>iii)</w:t>
      </w:r>
      <w:r w:rsidRPr="008357EA">
        <w:rPr>
          <w:lang w:val="en-US"/>
        </w:rPr>
        <w:tab/>
      </w:r>
      <w:r w:rsidRPr="008357EA">
        <w:rPr>
          <w:i/>
          <w:iCs/>
          <w:lang w:val="en-US"/>
        </w:rPr>
        <w:t>Guidelines for Nowcasting Techniques</w:t>
      </w:r>
      <w:r w:rsidRPr="008357EA">
        <w:rPr>
          <w:lang w:val="en-US"/>
        </w:rPr>
        <w:t xml:space="preserve"> (</w:t>
      </w:r>
      <w:r w:rsidR="00CA1DA5">
        <w:rPr>
          <w:lang w:val="en-US"/>
        </w:rPr>
        <w:t>WMO-No. </w:t>
      </w:r>
      <w:r>
        <w:rPr>
          <w:lang w:val="es-ES"/>
        </w:rPr>
        <w:t>1198) (Directrices sobre las técnicas de predicción inmediata)</w:t>
      </w:r>
    </w:p>
    <w:p w14:paraId="4458EAA5" w14:textId="17429387" w:rsidR="003E5D1B" w:rsidRPr="008357EA" w:rsidRDefault="00E26782">
      <w:pPr>
        <w:tabs>
          <w:tab w:val="clear" w:pos="1134"/>
          <w:tab w:val="left" w:pos="960"/>
        </w:tabs>
        <w:spacing w:after="240" w:line="240" w:lineRule="exact"/>
        <w:ind w:left="960" w:hanging="480"/>
        <w:rPr>
          <w:color w:val="000000" w:themeColor="text1"/>
          <w:szCs w:val="22"/>
          <w:lang w:val="es-419"/>
        </w:rPr>
      </w:pPr>
      <w:r w:rsidRPr="008357EA">
        <w:rPr>
          <w:lang w:val="en-US"/>
        </w:rPr>
        <w:t>iv)</w:t>
      </w:r>
      <w:r w:rsidRPr="008357EA">
        <w:rPr>
          <w:lang w:val="en-US"/>
        </w:rPr>
        <w:tab/>
      </w:r>
      <w:r w:rsidRPr="008357EA">
        <w:rPr>
          <w:i/>
          <w:iCs/>
          <w:lang w:val="en-US"/>
        </w:rPr>
        <w:t>Guidance on Operational Practices for Objective Seasonal Forecasting</w:t>
      </w:r>
      <w:r w:rsidRPr="008357EA">
        <w:rPr>
          <w:lang w:val="en-US"/>
        </w:rPr>
        <w:t xml:space="preserve"> (</w:t>
      </w:r>
      <w:r w:rsidR="00CA1DA5">
        <w:rPr>
          <w:lang w:val="en-US"/>
        </w:rPr>
        <w:t>WMO-No. </w:t>
      </w:r>
      <w:r>
        <w:rPr>
          <w:lang w:val="es-ES"/>
        </w:rPr>
        <w:t>1246) (Orientaciones sobre prácticas operativas para la predicción estacional objetiva)</w:t>
      </w:r>
    </w:p>
    <w:p w14:paraId="222E9868" w14:textId="735F5CA5" w:rsidR="003E5D1B" w:rsidRPr="008357EA" w:rsidRDefault="00E26782">
      <w:pPr>
        <w:tabs>
          <w:tab w:val="clear" w:pos="1134"/>
          <w:tab w:val="left" w:pos="960"/>
        </w:tabs>
        <w:spacing w:after="240" w:line="240" w:lineRule="exact"/>
        <w:ind w:left="960" w:hanging="480"/>
        <w:rPr>
          <w:color w:val="000000" w:themeColor="text1"/>
          <w:szCs w:val="22"/>
          <w:lang w:val="es-419"/>
        </w:rPr>
      </w:pPr>
      <w:r w:rsidRPr="00040873">
        <w:lastRenderedPageBreak/>
        <w:t>v)</w:t>
      </w:r>
      <w:r w:rsidRPr="00040873">
        <w:tab/>
      </w:r>
      <w:r w:rsidRPr="00040873">
        <w:rPr>
          <w:i/>
          <w:iCs/>
        </w:rPr>
        <w:t xml:space="preserve">Guidelines on Ensemble Prediction System Postprocessing </w:t>
      </w:r>
      <w:r w:rsidRPr="00040873">
        <w:t>(</w:t>
      </w:r>
      <w:r w:rsidR="00CA1DA5" w:rsidRPr="00040873">
        <w:t>WMO-No. </w:t>
      </w:r>
      <w:r>
        <w:rPr>
          <w:lang w:val="es-ES"/>
        </w:rPr>
        <w:t>1254) (Directrices sobre el proceso posterior de los sistemas de predicción por conjuntos)</w:t>
      </w:r>
    </w:p>
    <w:p w14:paraId="709986CD" w14:textId="77777777" w:rsidR="003E5D1B" w:rsidRPr="008357EA" w:rsidRDefault="00E26782">
      <w:pPr>
        <w:tabs>
          <w:tab w:val="clear" w:pos="1134"/>
          <w:tab w:val="left" w:pos="960"/>
        </w:tabs>
        <w:spacing w:after="240" w:line="240" w:lineRule="exact"/>
        <w:ind w:left="960" w:hanging="480"/>
        <w:rPr>
          <w:color w:val="000000" w:themeColor="text1"/>
          <w:szCs w:val="22"/>
          <w:lang w:val="es-419"/>
        </w:rPr>
      </w:pPr>
      <w:r>
        <w:rPr>
          <w:lang w:val="es-ES"/>
        </w:rPr>
        <w:t xml:space="preserve">vi) </w:t>
      </w:r>
      <w:r>
        <w:rPr>
          <w:i/>
          <w:iCs/>
          <w:lang w:val="es-ES"/>
        </w:rPr>
        <w:t xml:space="preserve">Guidelines on High-resolution Numerical Weather Prediction </w:t>
      </w:r>
      <w:r>
        <w:rPr>
          <w:lang w:val="es-ES"/>
        </w:rPr>
        <w:t>(Directrices sobre la predicción numérica del tiempo de alta resolución, de próxima publicación)</w:t>
      </w:r>
    </w:p>
    <w:p w14:paraId="4CD54914" w14:textId="48558EF2" w:rsidR="003E5D1B" w:rsidRPr="008357EA" w:rsidRDefault="00E26782">
      <w:pPr>
        <w:tabs>
          <w:tab w:val="clear" w:pos="1134"/>
          <w:tab w:val="left" w:pos="480"/>
        </w:tabs>
        <w:spacing w:after="240" w:line="240" w:lineRule="exact"/>
        <w:ind w:left="480" w:hanging="480"/>
        <w:rPr>
          <w:color w:val="000000" w:themeColor="text1"/>
          <w:szCs w:val="22"/>
          <w:lang w:val="es-419"/>
        </w:rPr>
      </w:pPr>
      <w:r>
        <w:rPr>
          <w:lang w:val="es-ES"/>
        </w:rPr>
        <w:t>e)</w:t>
      </w:r>
      <w:r>
        <w:rPr>
          <w:lang w:val="es-ES"/>
        </w:rPr>
        <w:tab/>
        <w:t>Otras publicaciones conexas</w:t>
      </w:r>
      <w:r w:rsidR="00EA685F">
        <w:rPr>
          <w:lang w:val="es-ES"/>
        </w:rPr>
        <w:t>:</w:t>
      </w:r>
      <w:r>
        <w:rPr>
          <w:lang w:val="es-ES"/>
        </w:rPr>
        <w:t xml:space="preserve"> </w:t>
      </w:r>
    </w:p>
    <w:p w14:paraId="2D615F9B" w14:textId="32F93B8D" w:rsidR="003E5D1B" w:rsidRPr="008357EA" w:rsidRDefault="00E26782">
      <w:pPr>
        <w:tabs>
          <w:tab w:val="clear" w:pos="1134"/>
          <w:tab w:val="left" w:pos="960"/>
        </w:tabs>
        <w:spacing w:after="240" w:line="240" w:lineRule="exact"/>
        <w:ind w:left="960" w:hanging="480"/>
        <w:rPr>
          <w:color w:val="000000" w:themeColor="text1"/>
          <w:szCs w:val="22"/>
          <w:lang w:val="es-419"/>
        </w:rPr>
      </w:pPr>
      <w:r>
        <w:rPr>
          <w:lang w:val="es-ES"/>
        </w:rPr>
        <w:t>i)</w:t>
      </w:r>
      <w:r>
        <w:rPr>
          <w:lang w:val="es-ES"/>
        </w:rPr>
        <w:tab/>
        <w:t xml:space="preserve">La </w:t>
      </w:r>
      <w:r w:rsidR="003D7F63" w:rsidRPr="003D7F63">
        <w:rPr>
          <w:i/>
          <w:iCs/>
          <w:lang w:val="es-ES"/>
        </w:rPr>
        <w:t>Estrategia de prestación de servicios de la OMM y su Plan de aplicación</w:t>
      </w:r>
      <w:r>
        <w:rPr>
          <w:lang w:val="es-ES"/>
        </w:rPr>
        <w:t xml:space="preserve"> (</w:t>
      </w:r>
      <w:r w:rsidR="00EB4587">
        <w:rPr>
          <w:lang w:val="es-ES"/>
        </w:rPr>
        <w:t>OMM</w:t>
      </w:r>
      <w:r w:rsidR="00EB4587">
        <w:rPr>
          <w:lang w:val="es-ES"/>
        </w:rPr>
        <w:noBreakHyphen/>
        <w:t>Nº</w:t>
      </w:r>
      <w:r w:rsidR="0093047C">
        <w:rPr>
          <w:lang w:val="es-ES"/>
        </w:rPr>
        <w:t> </w:t>
      </w:r>
      <w:r>
        <w:rPr>
          <w:lang w:val="es-ES"/>
        </w:rPr>
        <w:t>1129)</w:t>
      </w:r>
    </w:p>
    <w:p w14:paraId="0B9D80E6" w14:textId="77714B32" w:rsidR="003E5D1B" w:rsidRPr="008357EA" w:rsidRDefault="00E26782">
      <w:pPr>
        <w:tabs>
          <w:tab w:val="clear" w:pos="1134"/>
          <w:tab w:val="left" w:pos="960"/>
        </w:tabs>
        <w:spacing w:after="240" w:line="240" w:lineRule="exact"/>
        <w:ind w:left="960" w:hanging="480"/>
        <w:rPr>
          <w:color w:val="000000" w:themeColor="text1"/>
          <w:szCs w:val="22"/>
          <w:lang w:val="es-419"/>
        </w:rPr>
      </w:pPr>
      <w:r>
        <w:rPr>
          <w:lang w:val="es-ES"/>
        </w:rPr>
        <w:t>ii)</w:t>
      </w:r>
      <w:r>
        <w:rPr>
          <w:lang w:val="es-ES"/>
        </w:rPr>
        <w:tab/>
      </w:r>
      <w:r w:rsidRPr="00EA685F">
        <w:rPr>
          <w:i/>
          <w:iCs/>
          <w:lang w:val="es-ES"/>
        </w:rPr>
        <w:t>La predicción sin discontinuidad del sistema Tierra: de minutos a meses</w:t>
      </w:r>
      <w:r>
        <w:rPr>
          <w:lang w:val="es-ES"/>
        </w:rPr>
        <w:t xml:space="preserve"> (</w:t>
      </w:r>
      <w:r w:rsidR="00EB4587">
        <w:rPr>
          <w:lang w:val="es-ES"/>
        </w:rPr>
        <w:t>OMM</w:t>
      </w:r>
      <w:r w:rsidR="00EB4587">
        <w:rPr>
          <w:lang w:val="es-ES"/>
        </w:rPr>
        <w:noBreakHyphen/>
        <w:t>Nº</w:t>
      </w:r>
      <w:r w:rsidR="0093047C">
        <w:rPr>
          <w:lang w:val="es-ES"/>
        </w:rPr>
        <w:t> </w:t>
      </w:r>
      <w:r>
        <w:rPr>
          <w:lang w:val="es-ES"/>
        </w:rPr>
        <w:t>1156)</w:t>
      </w:r>
    </w:p>
    <w:p w14:paraId="3466A4E3" w14:textId="77379822" w:rsidR="003E5D1B" w:rsidRPr="008357EA" w:rsidRDefault="00E26782">
      <w:pPr>
        <w:tabs>
          <w:tab w:val="clear" w:pos="1134"/>
          <w:tab w:val="left" w:pos="960"/>
        </w:tabs>
        <w:spacing w:after="240" w:line="240" w:lineRule="exact"/>
        <w:ind w:left="960" w:hanging="480"/>
        <w:rPr>
          <w:color w:val="000000" w:themeColor="text1"/>
          <w:szCs w:val="22"/>
          <w:lang w:val="es-419"/>
        </w:rPr>
      </w:pPr>
      <w:r>
        <w:rPr>
          <w:lang w:val="es-ES"/>
        </w:rPr>
        <w:t>iii)</w:t>
      </w:r>
      <w:r>
        <w:rPr>
          <w:lang w:val="es-ES"/>
        </w:rPr>
        <w:tab/>
      </w:r>
      <w:r w:rsidR="002368F9" w:rsidRPr="002368F9">
        <w:rPr>
          <w:i/>
          <w:iCs/>
          <w:lang w:val="es-ES"/>
        </w:rPr>
        <w:t>Directrices técnicas para los Centros Regionales del WIGOS sobre el Sistema de Monitorización de la Calidad de los Datos del WIGOS</w:t>
      </w:r>
      <w:r>
        <w:rPr>
          <w:lang w:val="es-ES"/>
        </w:rPr>
        <w:t xml:space="preserve"> (</w:t>
      </w:r>
      <w:r w:rsidR="00EB4587">
        <w:rPr>
          <w:lang w:val="es-ES"/>
        </w:rPr>
        <w:t>OMM</w:t>
      </w:r>
      <w:r w:rsidR="00EB4587">
        <w:rPr>
          <w:lang w:val="es-ES"/>
        </w:rPr>
        <w:noBreakHyphen/>
        <w:t>Nº</w:t>
      </w:r>
      <w:r w:rsidR="0093047C">
        <w:rPr>
          <w:lang w:val="es-ES"/>
        </w:rPr>
        <w:t> </w:t>
      </w:r>
      <w:r>
        <w:rPr>
          <w:lang w:val="es-ES"/>
        </w:rPr>
        <w:t>1224)</w:t>
      </w:r>
    </w:p>
    <w:p w14:paraId="60D06E2E" w14:textId="310EB81F" w:rsidR="003E5D1B" w:rsidRPr="008357EA" w:rsidRDefault="00E26782">
      <w:pPr>
        <w:tabs>
          <w:tab w:val="clear" w:pos="1134"/>
          <w:tab w:val="left" w:pos="960"/>
        </w:tabs>
        <w:spacing w:after="240" w:line="240" w:lineRule="exact"/>
        <w:ind w:left="960" w:hanging="480"/>
        <w:jc w:val="left"/>
        <w:rPr>
          <w:color w:val="000000" w:themeColor="text1"/>
          <w:szCs w:val="22"/>
          <w:lang w:val="es-419"/>
        </w:rPr>
      </w:pPr>
      <w:r w:rsidRPr="008357EA">
        <w:rPr>
          <w:lang w:val="en-US"/>
        </w:rPr>
        <w:t>iv)</w:t>
      </w:r>
      <w:r w:rsidRPr="008357EA">
        <w:rPr>
          <w:lang w:val="en-US"/>
        </w:rPr>
        <w:tab/>
      </w:r>
      <w:r w:rsidRPr="008357EA">
        <w:rPr>
          <w:i/>
          <w:iCs/>
          <w:lang w:val="en-US"/>
        </w:rPr>
        <w:t>Compendium of WMO Competency Frameworks</w:t>
      </w:r>
      <w:r w:rsidRPr="008357EA">
        <w:rPr>
          <w:lang w:val="en-US"/>
        </w:rPr>
        <w:t xml:space="preserve"> (</w:t>
      </w:r>
      <w:r w:rsidR="00CA1DA5">
        <w:rPr>
          <w:lang w:val="en-US"/>
        </w:rPr>
        <w:t>WMO-No. </w:t>
      </w:r>
      <w:r>
        <w:rPr>
          <w:lang w:val="es-ES"/>
        </w:rPr>
        <w:t>1209) (Compendio de marcos de competencias de la OMM)</w:t>
      </w:r>
    </w:p>
    <w:p w14:paraId="371FD31F" w14:textId="77777777" w:rsidR="003E5D1B" w:rsidRPr="008357EA" w:rsidRDefault="00E26782">
      <w:pPr>
        <w:rPr>
          <w:rFonts w:cstheme="majorBidi"/>
          <w:color w:val="000000" w:themeColor="text1"/>
          <w:lang w:val="es-419" w:eastAsia="zh-TW"/>
        </w:rPr>
      </w:pPr>
      <w:r w:rsidRPr="008357EA">
        <w:rPr>
          <w:lang w:val="es-419"/>
        </w:rPr>
        <w:br w:type="page"/>
      </w:r>
    </w:p>
    <w:p w14:paraId="5AF32221" w14:textId="48E634C6" w:rsidR="003E5D1B" w:rsidRDefault="00E26782" w:rsidP="00CD2BB2">
      <w:pPr>
        <w:pStyle w:val="TPSSection"/>
      </w:pPr>
      <w:r w:rsidRPr="00CD2BB2">
        <w:lastRenderedPageBreak/>
        <w:fldChar w:fldCharType="begin"/>
      </w:r>
      <w:r w:rsidRPr="00CD2BB2">
        <w:instrText xml:space="preserve"> MACROBUTTON TPS_Section SECTION: Chapter Second</w:instrText>
      </w:r>
      <w:r w:rsidRPr="00CD2BB2">
        <w:rPr>
          <w:vanish/>
        </w:rPr>
        <w:fldChar w:fldCharType="begin"/>
      </w:r>
      <w:r w:rsidR="00CD2BB2">
        <w:rPr>
          <w:vanish/>
        </w:rPr>
        <w:instrText>Name="Chapter First" ID="23da8795-858b-4e38-96b3-e2eea3e2c93d"</w:instrText>
      </w:r>
      <w:r w:rsidRPr="00CD2BB2">
        <w:fldChar w:fldCharType="end"/>
      </w:r>
      <w:r w:rsidRPr="00CD2BB2">
        <w:fldChar w:fldCharType="end"/>
      </w:r>
    </w:p>
    <w:p w14:paraId="3C712BF9" w14:textId="77777777" w:rsidR="003E5D1B" w:rsidRDefault="00E26782" w:rsidP="00CD2BB2">
      <w:pPr>
        <w:pStyle w:val="TPSSectionData"/>
      </w:pPr>
      <w:r w:rsidRPr="00CD2BB2">
        <w:fldChar w:fldCharType="begin"/>
      </w:r>
      <w:r w:rsidRPr="00CD2BB2">
        <w:instrText xml:space="preserve"> MACROBUTTON TPS_SectionField Chapter title in running head: PART II. ACTIVITIES SUPPORTED BY THE GDPFS</w:instrText>
      </w:r>
      <w:r w:rsidRPr="00CD2BB2">
        <w:rPr>
          <w:vanish/>
        </w:rPr>
        <w:fldChar w:fldCharType="begin"/>
      </w:r>
      <w:r w:rsidRPr="00CD2BB2">
        <w:rPr>
          <w:vanish/>
        </w:rPr>
        <w:instrText>Name="Chapter title in running head" Value="PART I. OUTLINE OF THE WMO GLOBAL DATA-PROCESSING AND FORECASTING SYSTEM"</w:instrText>
      </w:r>
      <w:r w:rsidRPr="00CD2BB2">
        <w:fldChar w:fldCharType="end"/>
      </w:r>
      <w:r w:rsidRPr="00CD2BB2">
        <w:fldChar w:fldCharType="end"/>
      </w:r>
    </w:p>
    <w:p w14:paraId="5CB0BD15" w14:textId="696AB47E" w:rsidR="003E5D1B" w:rsidRPr="008357EA" w:rsidRDefault="00E26782">
      <w:pPr>
        <w:keepNext/>
        <w:tabs>
          <w:tab w:val="clear" w:pos="1134"/>
        </w:tabs>
        <w:spacing w:after="560" w:line="280" w:lineRule="exact"/>
        <w:jc w:val="left"/>
        <w:outlineLvl w:val="2"/>
        <w:rPr>
          <w:b/>
          <w:caps/>
          <w:color w:val="000000" w:themeColor="text1"/>
          <w:sz w:val="24"/>
          <w:szCs w:val="22"/>
          <w:lang w:val="es-419"/>
        </w:rPr>
      </w:pPr>
      <w:bookmarkStart w:id="92" w:name="_Toc113003307"/>
      <w:bookmarkStart w:id="93" w:name="_Toc113024432"/>
      <w:bookmarkStart w:id="94" w:name="_Toc117501964"/>
      <w:r>
        <w:rPr>
          <w:b/>
          <w:bCs/>
          <w:lang w:val="es-ES"/>
        </w:rPr>
        <w:t>PARTE II.</w:t>
      </w:r>
      <w:r>
        <w:rPr>
          <w:lang w:val="es-ES"/>
        </w:rPr>
        <w:t xml:space="preserve"> </w:t>
      </w:r>
      <w:r>
        <w:rPr>
          <w:b/>
          <w:bCs/>
          <w:lang w:val="es-ES"/>
        </w:rPr>
        <w:t>ACTIVIDADES RESPALDADAS POR EL SISTEMA MUNDIAL DE PROCESO DE DATOS Y DE PREDICCIÓN</w:t>
      </w:r>
      <w:bookmarkEnd w:id="92"/>
      <w:bookmarkEnd w:id="93"/>
      <w:bookmarkEnd w:id="94"/>
    </w:p>
    <w:p w14:paraId="0352AF5E" w14:textId="6A3AA499" w:rsidR="003E5D1B" w:rsidRPr="008357EA" w:rsidRDefault="00E26782">
      <w:pPr>
        <w:keepNext/>
        <w:tabs>
          <w:tab w:val="clear" w:pos="1134"/>
        </w:tabs>
        <w:spacing w:before="480" w:after="200" w:line="276" w:lineRule="auto"/>
        <w:ind w:left="1123" w:hanging="1123"/>
        <w:jc w:val="left"/>
        <w:outlineLvl w:val="3"/>
        <w:rPr>
          <w:rFonts w:eastAsiaTheme="minorHAnsi" w:cstheme="majorBidi"/>
          <w:b/>
          <w:bCs/>
          <w:caps/>
          <w:color w:val="000000" w:themeColor="text1"/>
          <w:lang w:val="es-419"/>
        </w:rPr>
      </w:pPr>
      <w:bookmarkStart w:id="95" w:name="_Toc113003308"/>
      <w:bookmarkStart w:id="96" w:name="_Toc113024433"/>
      <w:bookmarkStart w:id="97" w:name="_Toc117501965"/>
      <w:r>
        <w:rPr>
          <w:b/>
          <w:bCs/>
          <w:lang w:val="es-ES"/>
        </w:rPr>
        <w:t>2.1</w:t>
      </w:r>
      <w:r>
        <w:rPr>
          <w:lang w:val="es-ES"/>
        </w:rPr>
        <w:tab/>
      </w:r>
      <w:r>
        <w:rPr>
          <w:b/>
          <w:bCs/>
          <w:lang w:val="es-ES"/>
        </w:rPr>
        <w:t>CONSIDERACIONES GENERALES</w:t>
      </w:r>
      <w:bookmarkEnd w:id="95"/>
      <w:bookmarkEnd w:id="96"/>
      <w:bookmarkEnd w:id="97"/>
    </w:p>
    <w:p w14:paraId="161E495F" w14:textId="0432FA82" w:rsidR="003E5D1B" w:rsidRPr="008357EA" w:rsidRDefault="00E26782">
      <w:pPr>
        <w:spacing w:after="240" w:line="240" w:lineRule="exact"/>
        <w:rPr>
          <w:rFonts w:eastAsiaTheme="minorEastAsia" w:cstheme="majorBidi"/>
          <w:color w:val="000000" w:themeColor="text1"/>
          <w:lang w:val="es-419"/>
        </w:rPr>
      </w:pPr>
      <w:r>
        <w:rPr>
          <w:lang w:val="es-ES"/>
        </w:rPr>
        <w:t xml:space="preserve">El alcance funcional y las actividades que el GDPFS respalda se determinan mediante un proceso continuo destinado a entender las necesidades de los usuarios, incluida la calidad del servicio. Con eso se asegura que el GDPFS tenga capacidad para responder a las necesidades actuales y futuras de los programas y las esferas de aplicación y servicio a los que brinda apoyo. (Véase </w:t>
      </w:r>
      <w:r w:rsidR="0070041E">
        <w:rPr>
          <w:lang w:val="es-ES"/>
        </w:rPr>
        <w:t xml:space="preserve">la sección 1.2, </w:t>
      </w:r>
      <w:r w:rsidR="0011646C">
        <w:rPr>
          <w:lang w:val="es-ES"/>
        </w:rPr>
        <w:t xml:space="preserve">titulada </w:t>
      </w:r>
      <w:r w:rsidR="0070041E">
        <w:rPr>
          <w:lang w:val="es-ES"/>
        </w:rPr>
        <w:t>“</w:t>
      </w:r>
      <w:r w:rsidR="0070041E" w:rsidRPr="0070041E">
        <w:rPr>
          <w:lang w:val="es-ES"/>
        </w:rPr>
        <w:t xml:space="preserve">Principios que rigen el Sistema Mundial </w:t>
      </w:r>
      <w:r w:rsidR="0070041E">
        <w:rPr>
          <w:lang w:val="es-ES"/>
        </w:rPr>
        <w:t>d</w:t>
      </w:r>
      <w:r w:rsidR="0070041E" w:rsidRPr="0070041E">
        <w:rPr>
          <w:lang w:val="es-ES"/>
        </w:rPr>
        <w:t xml:space="preserve">e Proceso </w:t>
      </w:r>
      <w:r w:rsidR="0070041E">
        <w:rPr>
          <w:lang w:val="es-ES"/>
        </w:rPr>
        <w:t>d</w:t>
      </w:r>
      <w:r w:rsidR="0070041E" w:rsidRPr="0070041E">
        <w:rPr>
          <w:lang w:val="es-ES"/>
        </w:rPr>
        <w:t>e Datos y de Predicción</w:t>
      </w:r>
      <w:r w:rsidR="0070041E">
        <w:rPr>
          <w:lang w:val="es-ES"/>
        </w:rPr>
        <w:t>”</w:t>
      </w:r>
      <w:r>
        <w:rPr>
          <w:lang w:val="es-ES"/>
        </w:rPr>
        <w:t xml:space="preserve">, </w:t>
      </w:r>
      <w:r w:rsidR="0070041E">
        <w:rPr>
          <w:lang w:val="es-ES"/>
        </w:rPr>
        <w:t xml:space="preserve">de la </w:t>
      </w:r>
      <w:r>
        <w:rPr>
          <w:lang w:val="es-ES"/>
        </w:rPr>
        <w:t xml:space="preserve">parte I). </w:t>
      </w:r>
    </w:p>
    <w:p w14:paraId="22F1790A" w14:textId="25F67DD6" w:rsidR="003E5D1B" w:rsidRPr="0011646C" w:rsidRDefault="00E26782">
      <w:pPr>
        <w:keepNext/>
        <w:tabs>
          <w:tab w:val="clear" w:pos="1134"/>
        </w:tabs>
        <w:spacing w:before="480" w:after="200" w:line="276" w:lineRule="auto"/>
        <w:ind w:left="1123" w:hanging="1123"/>
        <w:jc w:val="left"/>
        <w:outlineLvl w:val="3"/>
        <w:rPr>
          <w:rFonts w:eastAsiaTheme="minorHAnsi" w:cstheme="majorBidi"/>
          <w:b/>
          <w:bCs/>
          <w:caps/>
          <w:lang w:val="es-419"/>
        </w:rPr>
      </w:pPr>
      <w:bookmarkStart w:id="98" w:name="_p_78335705C613DD4685BC86AB9AD7F6E8"/>
      <w:bookmarkStart w:id="99" w:name="_p_356C018CACF4A947A354094D6655F9B2"/>
      <w:bookmarkStart w:id="100" w:name="_Toc113003309"/>
      <w:bookmarkStart w:id="101" w:name="_Toc113024434"/>
      <w:bookmarkStart w:id="102" w:name="_Toc117501966"/>
      <w:bookmarkEnd w:id="98"/>
      <w:bookmarkEnd w:id="99"/>
      <w:r>
        <w:rPr>
          <w:b/>
          <w:bCs/>
          <w:lang w:val="es-ES"/>
        </w:rPr>
        <w:t>2.2</w:t>
      </w:r>
      <w:r>
        <w:rPr>
          <w:lang w:val="es-ES"/>
        </w:rPr>
        <w:tab/>
      </w:r>
      <w:r w:rsidR="00BC0EA8">
        <w:rPr>
          <w:b/>
          <w:bCs/>
          <w:lang w:val="es-ES"/>
        </w:rPr>
        <w:t xml:space="preserve">ESTRUCTURA FUNCIONAL DEL </w:t>
      </w:r>
      <w:bookmarkEnd w:id="100"/>
      <w:bookmarkEnd w:id="101"/>
      <w:bookmarkEnd w:id="102"/>
      <w:r w:rsidR="0011646C" w:rsidRPr="0011646C">
        <w:rPr>
          <w:b/>
          <w:bCs/>
          <w:lang w:val="es-ES"/>
        </w:rPr>
        <w:t>SISTEMA MUNDIAL DE PROCESO DE DATOS Y DE PREDICCIÓN</w:t>
      </w:r>
    </w:p>
    <w:p w14:paraId="24BD2F9A" w14:textId="4EE148CD" w:rsidR="003E5D1B" w:rsidRPr="008357EA" w:rsidRDefault="0061264E">
      <w:pPr>
        <w:spacing w:after="240" w:line="240" w:lineRule="exact"/>
        <w:rPr>
          <w:rFonts w:eastAsiaTheme="minorEastAsia" w:cstheme="majorBidi"/>
          <w:b/>
          <w:bCs/>
          <w:color w:val="000000" w:themeColor="text1"/>
          <w:lang w:val="es-419"/>
        </w:rPr>
      </w:pPr>
      <w:r>
        <w:rPr>
          <w:lang w:val="es-ES"/>
        </w:rPr>
        <w:t xml:space="preserve">En conjunto, los centros del GDPFS respaldan las principales funciones del GDPFS que se enumeran aquí y que se describen como necesidades generales en la sección 2.1, parte II del </w:t>
      </w:r>
      <w:r w:rsidR="002D6434" w:rsidRPr="002D6434">
        <w:rPr>
          <w:i/>
          <w:iCs/>
          <w:lang w:val="es-ES"/>
        </w:rPr>
        <w:t>Manual del Sistema Mundial de Proceso de Datos y de Predicción</w:t>
      </w:r>
      <w:r w:rsidR="008357EA">
        <w:rPr>
          <w:lang w:val="es-ES"/>
        </w:rPr>
        <w:t xml:space="preserve"> (</w:t>
      </w:r>
      <w:r w:rsidR="00EB4587">
        <w:rPr>
          <w:lang w:val="es-ES"/>
        </w:rPr>
        <w:t>OMM</w:t>
      </w:r>
      <w:r w:rsidR="00EB4587">
        <w:rPr>
          <w:lang w:val="es-ES"/>
        </w:rPr>
        <w:noBreakHyphen/>
        <w:t>Nº</w:t>
      </w:r>
      <w:r w:rsidR="0093047C">
        <w:rPr>
          <w:lang w:val="es-ES"/>
        </w:rPr>
        <w:t> </w:t>
      </w:r>
      <w:r w:rsidR="008357EA">
        <w:rPr>
          <w:lang w:val="es-ES"/>
        </w:rPr>
        <w:t>485)</w:t>
      </w:r>
      <w:r>
        <w:rPr>
          <w:lang w:val="es-ES"/>
        </w:rPr>
        <w:t>:</w:t>
      </w:r>
    </w:p>
    <w:p w14:paraId="08D7FEEA" w14:textId="77777777" w:rsidR="003E5D1B" w:rsidRDefault="00E26782">
      <w:pPr>
        <w:numPr>
          <w:ilvl w:val="0"/>
          <w:numId w:val="9"/>
        </w:numPr>
        <w:tabs>
          <w:tab w:val="clear" w:pos="1134"/>
          <w:tab w:val="left" w:pos="480"/>
        </w:tabs>
        <w:spacing w:after="240" w:line="240" w:lineRule="exact"/>
        <w:jc w:val="left"/>
        <w:rPr>
          <w:color w:val="000000" w:themeColor="text1"/>
          <w:szCs w:val="22"/>
        </w:rPr>
      </w:pPr>
      <w:r>
        <w:rPr>
          <w:lang w:val="es-ES"/>
        </w:rPr>
        <w:t>Recopilación de datos</w:t>
      </w:r>
    </w:p>
    <w:p w14:paraId="615B13EC" w14:textId="77777777" w:rsidR="003E5D1B" w:rsidRPr="008357EA" w:rsidRDefault="00E26782">
      <w:pPr>
        <w:numPr>
          <w:ilvl w:val="0"/>
          <w:numId w:val="9"/>
        </w:numPr>
        <w:tabs>
          <w:tab w:val="clear" w:pos="1134"/>
          <w:tab w:val="left" w:pos="480"/>
        </w:tabs>
        <w:spacing w:after="240" w:line="240" w:lineRule="exact"/>
        <w:jc w:val="left"/>
        <w:rPr>
          <w:color w:val="000000" w:themeColor="text1"/>
          <w:szCs w:val="22"/>
          <w:lang w:val="es-419"/>
        </w:rPr>
      </w:pPr>
      <w:r>
        <w:rPr>
          <w:lang w:val="es-ES"/>
        </w:rPr>
        <w:t>Control de calidad de las observaciones recibidas</w:t>
      </w:r>
    </w:p>
    <w:p w14:paraId="7E18386C" w14:textId="77777777" w:rsidR="003E5D1B" w:rsidRDefault="00E26782">
      <w:pPr>
        <w:numPr>
          <w:ilvl w:val="0"/>
          <w:numId w:val="9"/>
        </w:numPr>
        <w:tabs>
          <w:tab w:val="clear" w:pos="1134"/>
          <w:tab w:val="left" w:pos="480"/>
        </w:tabs>
        <w:spacing w:after="240" w:line="240" w:lineRule="exact"/>
        <w:jc w:val="left"/>
        <w:rPr>
          <w:color w:val="000000" w:themeColor="text1"/>
          <w:szCs w:val="22"/>
        </w:rPr>
      </w:pPr>
      <w:r>
        <w:rPr>
          <w:lang w:val="es-ES"/>
        </w:rPr>
        <w:t>Creación y difusión de productos</w:t>
      </w:r>
    </w:p>
    <w:p w14:paraId="02397276" w14:textId="77777777" w:rsidR="003E5D1B" w:rsidRDefault="00E26782">
      <w:pPr>
        <w:numPr>
          <w:ilvl w:val="0"/>
          <w:numId w:val="9"/>
        </w:numPr>
        <w:tabs>
          <w:tab w:val="clear" w:pos="1134"/>
          <w:tab w:val="left" w:pos="480"/>
        </w:tabs>
        <w:spacing w:after="240" w:line="240" w:lineRule="exact"/>
        <w:jc w:val="left"/>
        <w:rPr>
          <w:color w:val="000000" w:themeColor="text1"/>
          <w:szCs w:val="22"/>
        </w:rPr>
      </w:pPr>
      <w:r>
        <w:rPr>
          <w:lang w:val="es-ES"/>
        </w:rPr>
        <w:t>Verificación de productos</w:t>
      </w:r>
    </w:p>
    <w:p w14:paraId="70E8C9A5" w14:textId="77777777" w:rsidR="003E5D1B" w:rsidRPr="008357EA" w:rsidRDefault="00E26782">
      <w:pPr>
        <w:numPr>
          <w:ilvl w:val="0"/>
          <w:numId w:val="9"/>
        </w:numPr>
        <w:tabs>
          <w:tab w:val="clear" w:pos="1134"/>
          <w:tab w:val="left" w:pos="480"/>
        </w:tabs>
        <w:spacing w:after="240" w:line="240" w:lineRule="exact"/>
        <w:jc w:val="left"/>
        <w:rPr>
          <w:color w:val="000000" w:themeColor="text1"/>
          <w:szCs w:val="22"/>
          <w:lang w:val="es-419"/>
        </w:rPr>
      </w:pPr>
      <w:r>
        <w:rPr>
          <w:lang w:val="es-ES"/>
        </w:rPr>
        <w:t>Almacenamiento a largo plazo de datos y productos</w:t>
      </w:r>
    </w:p>
    <w:p w14:paraId="2D8CA24D" w14:textId="6F815A39" w:rsidR="003E5D1B" w:rsidRPr="0061264E" w:rsidRDefault="00E26782">
      <w:pPr>
        <w:tabs>
          <w:tab w:val="clear" w:pos="1134"/>
        </w:tabs>
        <w:spacing w:after="240" w:line="200" w:lineRule="exact"/>
        <w:rPr>
          <w:b/>
          <w:bCs/>
          <w:color w:val="000000" w:themeColor="text1"/>
          <w:sz w:val="16"/>
          <w:szCs w:val="16"/>
          <w:lang w:val="es-419"/>
        </w:rPr>
      </w:pPr>
      <w:r w:rsidRPr="0061264E">
        <w:rPr>
          <w:sz w:val="16"/>
          <w:szCs w:val="16"/>
          <w:lang w:val="es-ES"/>
        </w:rPr>
        <w:t xml:space="preserve">Nota: El GDPFS se ocupa de los procesos y el contenido de los datos y los productos, pero los aspectos relacionados con la gestión de los datos y las telecomunicaciones corresponden al Sistema de Información de la OMM (WIS) y a las normas de aseguramiento y control de la calidad que </w:t>
      </w:r>
      <w:r w:rsidR="0061264E">
        <w:rPr>
          <w:sz w:val="16"/>
          <w:szCs w:val="16"/>
          <w:lang w:val="es-ES"/>
        </w:rPr>
        <w:t xml:space="preserve">se </w:t>
      </w:r>
      <w:r w:rsidRPr="0061264E">
        <w:rPr>
          <w:sz w:val="16"/>
          <w:szCs w:val="16"/>
          <w:lang w:val="es-ES"/>
        </w:rPr>
        <w:t>define</w:t>
      </w:r>
      <w:r w:rsidR="0061264E">
        <w:rPr>
          <w:sz w:val="16"/>
          <w:szCs w:val="16"/>
          <w:lang w:val="es-ES"/>
        </w:rPr>
        <w:t>n en</w:t>
      </w:r>
      <w:r w:rsidRPr="0061264E">
        <w:rPr>
          <w:sz w:val="16"/>
          <w:szCs w:val="16"/>
          <w:lang w:val="es-ES"/>
        </w:rPr>
        <w:t xml:space="preserve"> el Sistema Mundial Integrado de Sistemas de Observación de la OMM (WIGOS).</w:t>
      </w:r>
    </w:p>
    <w:p w14:paraId="073B28FC" w14:textId="4292687A" w:rsidR="003E5D1B" w:rsidRPr="008357EA" w:rsidRDefault="00E26782">
      <w:pPr>
        <w:spacing w:after="240" w:line="240" w:lineRule="exact"/>
        <w:rPr>
          <w:rFonts w:eastAsiaTheme="minorEastAsia" w:cstheme="majorBidi"/>
          <w:b/>
          <w:bCs/>
          <w:color w:val="000000" w:themeColor="text1"/>
          <w:lang w:val="es-419"/>
        </w:rPr>
      </w:pPr>
      <w:r>
        <w:rPr>
          <w:lang w:val="es-ES"/>
        </w:rPr>
        <w:t xml:space="preserve">La creación y difusión de productos corre </w:t>
      </w:r>
      <w:r w:rsidR="0061264E">
        <w:rPr>
          <w:lang w:val="es-ES"/>
        </w:rPr>
        <w:t xml:space="preserve">por cuenta </w:t>
      </w:r>
      <w:r>
        <w:rPr>
          <w:lang w:val="es-ES"/>
        </w:rPr>
        <w:t xml:space="preserve">de los </w:t>
      </w:r>
      <w:r w:rsidR="00A95DEF">
        <w:rPr>
          <w:lang w:val="es-ES"/>
        </w:rPr>
        <w:t>CMM</w:t>
      </w:r>
      <w:r>
        <w:rPr>
          <w:lang w:val="es-ES"/>
        </w:rPr>
        <w:t xml:space="preserve">, los </w:t>
      </w:r>
      <w:r w:rsidR="00A95DEF">
        <w:rPr>
          <w:lang w:val="es-ES"/>
        </w:rPr>
        <w:t>CMRE</w:t>
      </w:r>
      <w:r>
        <w:rPr>
          <w:lang w:val="es-ES"/>
        </w:rPr>
        <w:t xml:space="preserve"> y las redes de </w:t>
      </w:r>
      <w:r w:rsidR="00A95DEF">
        <w:rPr>
          <w:lang w:val="es-ES"/>
        </w:rPr>
        <w:t>CMRE</w:t>
      </w:r>
      <w:r>
        <w:rPr>
          <w:lang w:val="es-ES"/>
        </w:rPr>
        <w:t xml:space="preserve"> </w:t>
      </w:r>
      <w:r w:rsidR="0061264E">
        <w:rPr>
          <w:lang w:val="es-ES"/>
        </w:rPr>
        <w:t>cuando se trata de</w:t>
      </w:r>
      <w:r>
        <w:rPr>
          <w:lang w:val="es-ES"/>
        </w:rPr>
        <w:t xml:space="preserve"> las actividades de carácter general y las especializadas, y </w:t>
      </w:r>
      <w:r w:rsidR="0061264E">
        <w:rPr>
          <w:lang w:val="es-ES"/>
        </w:rPr>
        <w:t>por cuenta</w:t>
      </w:r>
      <w:r>
        <w:rPr>
          <w:lang w:val="es-ES"/>
        </w:rPr>
        <w:t xml:space="preserve"> de los </w:t>
      </w:r>
      <w:r w:rsidR="006753E1">
        <w:rPr>
          <w:lang w:val="es-ES"/>
        </w:rPr>
        <w:t>CMN</w:t>
      </w:r>
      <w:r>
        <w:rPr>
          <w:lang w:val="es-ES"/>
        </w:rPr>
        <w:t xml:space="preserve"> </w:t>
      </w:r>
      <w:r w:rsidR="0061264E">
        <w:rPr>
          <w:lang w:val="es-ES"/>
        </w:rPr>
        <w:t>cuando se trata de</w:t>
      </w:r>
      <w:r>
        <w:rPr>
          <w:lang w:val="es-ES"/>
        </w:rPr>
        <w:t xml:space="preserve"> las esferas de aplicación y servicio </w:t>
      </w:r>
      <w:r w:rsidR="0061264E">
        <w:rPr>
          <w:lang w:val="es-ES"/>
        </w:rPr>
        <w:t>que se establecen en</w:t>
      </w:r>
      <w:r>
        <w:rPr>
          <w:lang w:val="es-ES"/>
        </w:rPr>
        <w:t xml:space="preserve"> sus mandatos. Aunque todos los centros del GDPFS deben </w:t>
      </w:r>
      <w:r w:rsidR="00A7433F">
        <w:rPr>
          <w:lang w:val="es-ES"/>
        </w:rPr>
        <w:t>verificar</w:t>
      </w:r>
      <w:r>
        <w:rPr>
          <w:lang w:val="es-ES"/>
        </w:rPr>
        <w:t xml:space="preserve"> los productos, los </w:t>
      </w:r>
      <w:r w:rsidR="000009C0">
        <w:rPr>
          <w:lang w:val="es-ES"/>
        </w:rPr>
        <w:t>Centros Principales</w:t>
      </w:r>
      <w:r>
        <w:rPr>
          <w:lang w:val="es-ES"/>
        </w:rPr>
        <w:t xml:space="preserve"> desempeñan un papel fundamental a la hora de coordinar la actividad y garantizar que se apliquen los procedimientos normalizados de verificación. El resto de las funciones serán desempeñadas por todos los centros del GDPFS. </w:t>
      </w:r>
    </w:p>
    <w:p w14:paraId="03A00A31" w14:textId="1F6F46AE" w:rsidR="003E5D1B" w:rsidRPr="008357EA" w:rsidRDefault="00E26782">
      <w:pPr>
        <w:keepNext/>
        <w:tabs>
          <w:tab w:val="clear" w:pos="1134"/>
        </w:tabs>
        <w:spacing w:before="480" w:after="200" w:line="276" w:lineRule="auto"/>
        <w:ind w:left="1123" w:hanging="1123"/>
        <w:jc w:val="left"/>
        <w:outlineLvl w:val="3"/>
        <w:rPr>
          <w:rFonts w:eastAsiaTheme="minorHAnsi" w:cstheme="majorBidi"/>
          <w:b/>
          <w:bCs/>
          <w:caps/>
          <w:color w:val="000000" w:themeColor="text1"/>
          <w:lang w:val="es-419"/>
        </w:rPr>
      </w:pPr>
      <w:bookmarkStart w:id="103" w:name="_Toc113003310"/>
      <w:bookmarkStart w:id="104" w:name="_Toc113024435"/>
      <w:bookmarkStart w:id="105" w:name="_Toc117501967"/>
      <w:r>
        <w:rPr>
          <w:b/>
          <w:bCs/>
          <w:lang w:val="es-ES"/>
        </w:rPr>
        <w:t>2.3</w:t>
      </w:r>
      <w:r>
        <w:rPr>
          <w:lang w:val="es-ES"/>
        </w:rPr>
        <w:tab/>
      </w:r>
      <w:r w:rsidR="00BC0EA8">
        <w:rPr>
          <w:b/>
          <w:bCs/>
          <w:lang w:val="es-ES"/>
        </w:rPr>
        <w:t>FUNCIÓN Y EXAMEN DE LAS ACTIVIDADES RESPALDADAS POR EL GDPFS</w:t>
      </w:r>
      <w:bookmarkEnd w:id="103"/>
      <w:bookmarkEnd w:id="104"/>
      <w:bookmarkEnd w:id="105"/>
    </w:p>
    <w:p w14:paraId="2DB3A795" w14:textId="225BB8D9" w:rsidR="003E5D1B" w:rsidRPr="008357EA" w:rsidRDefault="00E26782">
      <w:pPr>
        <w:spacing w:after="240" w:line="240" w:lineRule="exact"/>
        <w:rPr>
          <w:rFonts w:eastAsiaTheme="minorEastAsia" w:cstheme="majorBidi"/>
          <w:color w:val="000000" w:themeColor="text1"/>
          <w:lang w:val="es-419"/>
        </w:rPr>
      </w:pPr>
      <w:r>
        <w:rPr>
          <w:lang w:val="es-ES"/>
        </w:rPr>
        <w:t xml:space="preserve">En las secciones 2.2.2 y 2.2.3 de la parte II del </w:t>
      </w:r>
      <w:r w:rsidR="002D6434" w:rsidRPr="002D6434">
        <w:rPr>
          <w:i/>
          <w:iCs/>
          <w:lang w:val="es-ES"/>
        </w:rPr>
        <w:t>Manual del Sistema Mundial de Proceso de Datos y de Predicción</w:t>
      </w:r>
      <w:r w:rsidR="008357EA">
        <w:rPr>
          <w:lang w:val="es-ES"/>
        </w:rPr>
        <w:t xml:space="preserve"> (</w:t>
      </w:r>
      <w:r w:rsidR="00EB4587">
        <w:rPr>
          <w:lang w:val="es-ES"/>
        </w:rPr>
        <w:t>OMM</w:t>
      </w:r>
      <w:r w:rsidR="00EB4587">
        <w:rPr>
          <w:lang w:val="es-ES"/>
        </w:rPr>
        <w:noBreakHyphen/>
        <w:t>Nº</w:t>
      </w:r>
      <w:r w:rsidR="0093047C">
        <w:rPr>
          <w:lang w:val="es-ES"/>
        </w:rPr>
        <w:t> </w:t>
      </w:r>
      <w:r w:rsidR="008357EA">
        <w:rPr>
          <w:lang w:val="es-ES"/>
        </w:rPr>
        <w:t>485)</w:t>
      </w:r>
      <w:r w:rsidR="004F6F84">
        <w:rPr>
          <w:lang w:val="es-ES"/>
        </w:rPr>
        <w:t xml:space="preserve"> </w:t>
      </w:r>
      <w:r>
        <w:rPr>
          <w:lang w:val="es-ES"/>
        </w:rPr>
        <w:t xml:space="preserve">se brindan especificaciones e información detallada sobre las actividades de carácter general y las actividades especializadas que deben llevar a cabo los </w:t>
      </w:r>
      <w:r w:rsidR="00A95DEF">
        <w:rPr>
          <w:lang w:val="es-ES"/>
        </w:rPr>
        <w:t>CMM</w:t>
      </w:r>
      <w:r>
        <w:rPr>
          <w:lang w:val="es-ES"/>
        </w:rPr>
        <w:t xml:space="preserve">, los </w:t>
      </w:r>
      <w:r w:rsidR="00A95DEF">
        <w:rPr>
          <w:lang w:val="es-ES"/>
        </w:rPr>
        <w:t>CMRE</w:t>
      </w:r>
      <w:r>
        <w:rPr>
          <w:lang w:val="es-ES"/>
        </w:rPr>
        <w:t xml:space="preserve">, las redes de </w:t>
      </w:r>
      <w:r w:rsidR="00A95DEF">
        <w:rPr>
          <w:lang w:val="es-ES"/>
        </w:rPr>
        <w:t>CMRE</w:t>
      </w:r>
      <w:r>
        <w:rPr>
          <w:lang w:val="es-ES"/>
        </w:rPr>
        <w:t xml:space="preserve"> y los </w:t>
      </w:r>
      <w:r w:rsidR="000009C0">
        <w:rPr>
          <w:lang w:val="es-ES"/>
        </w:rPr>
        <w:t>Centros Principales</w:t>
      </w:r>
      <w:r>
        <w:rPr>
          <w:lang w:val="es-ES"/>
        </w:rPr>
        <w:t xml:space="preserve"> designados. Entre ellas hay funciones obligatorias, como la producción, la verificación y la documentación, y funciones y productos adicionales recomendados. </w:t>
      </w:r>
    </w:p>
    <w:p w14:paraId="6030D84B" w14:textId="46927D91" w:rsidR="003E5D1B" w:rsidRPr="008357EA" w:rsidRDefault="00EE6B2C">
      <w:pPr>
        <w:spacing w:after="240" w:line="240" w:lineRule="exact"/>
        <w:rPr>
          <w:rFonts w:eastAsiaTheme="minorEastAsia" w:cstheme="majorBidi"/>
          <w:b/>
          <w:bCs/>
          <w:color w:val="000000" w:themeColor="text1"/>
          <w:lang w:val="es-419"/>
        </w:rPr>
      </w:pPr>
      <w:r>
        <w:rPr>
          <w:lang w:val="es-ES"/>
        </w:rPr>
        <w:lastRenderedPageBreak/>
        <w:t xml:space="preserve">A continuación se resumen las especificaciones de las actividades de carácter general y las actividades especializadas del GDPFS que llevan a cabo los </w:t>
      </w:r>
      <w:r w:rsidR="00A95DEF">
        <w:rPr>
          <w:lang w:val="es-ES"/>
        </w:rPr>
        <w:t>CMM</w:t>
      </w:r>
      <w:r>
        <w:rPr>
          <w:lang w:val="es-ES"/>
        </w:rPr>
        <w:t xml:space="preserve">, los </w:t>
      </w:r>
      <w:r w:rsidR="00A95DEF">
        <w:rPr>
          <w:lang w:val="es-ES"/>
        </w:rPr>
        <w:t>CMRE</w:t>
      </w:r>
      <w:r>
        <w:rPr>
          <w:lang w:val="es-ES"/>
        </w:rPr>
        <w:t xml:space="preserve">, las redes de </w:t>
      </w:r>
      <w:r w:rsidR="00A95DEF">
        <w:rPr>
          <w:lang w:val="es-ES"/>
        </w:rPr>
        <w:t>CMRE</w:t>
      </w:r>
      <w:r>
        <w:rPr>
          <w:lang w:val="es-ES"/>
        </w:rPr>
        <w:t xml:space="preserve"> y los </w:t>
      </w:r>
      <w:r w:rsidR="00B4655B">
        <w:rPr>
          <w:lang w:val="es-ES"/>
        </w:rPr>
        <w:t>Centros Principales</w:t>
      </w:r>
      <w:r>
        <w:rPr>
          <w:lang w:val="es-ES"/>
        </w:rPr>
        <w:t xml:space="preserve">, se brinda orientación sobre las esferas de aplicación y servicio en las que podrían utilizarse los productos, así como recomendaciones sobre cómo integrarlos en el proceso nacional de predicción, y se explica el mecanismo de retroinformación destinado a mejorar el sistema en su conjunto. </w:t>
      </w:r>
    </w:p>
    <w:p w14:paraId="4CE694EE" w14:textId="0A509A67" w:rsidR="003E5D1B" w:rsidRPr="008357EA" w:rsidRDefault="00E26782">
      <w:pPr>
        <w:keepNext/>
        <w:spacing w:before="240" w:after="240" w:line="240" w:lineRule="exact"/>
        <w:outlineLvl w:val="4"/>
        <w:rPr>
          <w:color w:val="000000" w:themeColor="text1"/>
          <w:lang w:val="es-419"/>
        </w:rPr>
      </w:pPr>
      <w:bookmarkStart w:id="106" w:name="_Toc113003311"/>
      <w:bookmarkStart w:id="107" w:name="_Toc113024436"/>
      <w:bookmarkStart w:id="108" w:name="_Toc117501968"/>
      <w:r>
        <w:rPr>
          <w:b/>
          <w:bCs/>
          <w:lang w:val="es-ES"/>
        </w:rPr>
        <w:t>2.3.1</w:t>
      </w:r>
      <w:r>
        <w:rPr>
          <w:lang w:val="es-ES"/>
        </w:rPr>
        <w:tab/>
      </w:r>
      <w:r>
        <w:rPr>
          <w:b/>
          <w:bCs/>
          <w:lang w:val="es-ES"/>
        </w:rPr>
        <w:t>Actividades de carácter general</w:t>
      </w:r>
      <w:bookmarkEnd w:id="106"/>
      <w:bookmarkEnd w:id="107"/>
      <w:bookmarkEnd w:id="108"/>
    </w:p>
    <w:p w14:paraId="44EC4694" w14:textId="69A67BD9" w:rsidR="003E5D1B" w:rsidRPr="008357EA" w:rsidRDefault="00E26782">
      <w:pPr>
        <w:keepNext/>
        <w:spacing w:before="240" w:after="240" w:line="240" w:lineRule="exact"/>
        <w:ind w:left="1123" w:hanging="1123"/>
        <w:outlineLvl w:val="5"/>
        <w:rPr>
          <w:rFonts w:eastAsiaTheme="minorEastAsia" w:cstheme="majorBidi"/>
          <w:b/>
          <w:bCs/>
          <w:i/>
          <w:iCs/>
          <w:color w:val="000000" w:themeColor="text1"/>
          <w:lang w:val="es-419"/>
        </w:rPr>
      </w:pPr>
      <w:bookmarkStart w:id="109" w:name="_Toc113003312"/>
      <w:bookmarkStart w:id="110" w:name="_Toc113024437"/>
      <w:bookmarkStart w:id="111" w:name="_Toc117501969"/>
      <w:r>
        <w:rPr>
          <w:b/>
          <w:bCs/>
          <w:i/>
          <w:iCs/>
          <w:lang w:val="es-ES"/>
        </w:rPr>
        <w:t>2.3.1.1</w:t>
      </w:r>
      <w:r>
        <w:rPr>
          <w:lang w:val="es-ES"/>
        </w:rPr>
        <w:tab/>
      </w:r>
      <w:r>
        <w:rPr>
          <w:b/>
          <w:bCs/>
          <w:i/>
          <w:iCs/>
          <w:lang w:val="es-ES"/>
        </w:rPr>
        <w:t>Predicción numérica del tiempo determinística a escala mundial</w:t>
      </w:r>
      <w:bookmarkEnd w:id="109"/>
      <w:bookmarkEnd w:id="110"/>
      <w:bookmarkEnd w:id="111"/>
    </w:p>
    <w:p w14:paraId="375C669F" w14:textId="2E89EC52" w:rsidR="003E5D1B" w:rsidRPr="008357EA" w:rsidRDefault="00E26782">
      <w:pPr>
        <w:spacing w:after="240" w:line="240" w:lineRule="exact"/>
        <w:rPr>
          <w:rFonts w:eastAsiaTheme="minorEastAsia" w:cstheme="majorBidi"/>
          <w:color w:val="000000" w:themeColor="text1"/>
          <w:lang w:val="es-419"/>
        </w:rPr>
      </w:pPr>
      <w:r>
        <w:rPr>
          <w:lang w:val="es-ES"/>
        </w:rPr>
        <w:t xml:space="preserve">2.3.1.1.1 </w:t>
      </w:r>
      <w:r w:rsidR="00947A8C" w:rsidRPr="00947A8C">
        <w:rPr>
          <w:i/>
          <w:iCs/>
          <w:lang w:val="es-ES"/>
        </w:rPr>
        <w:t>Resumen general de la actividad de los CMRE</w:t>
      </w:r>
      <w:r w:rsidR="00947A8C">
        <w:rPr>
          <w:lang w:val="es-ES"/>
        </w:rPr>
        <w:t xml:space="preserve"> </w:t>
      </w:r>
    </w:p>
    <w:p w14:paraId="6ED9A6D8" w14:textId="1FFD7418" w:rsidR="003E5D1B" w:rsidRPr="008357EA" w:rsidRDefault="00E26782">
      <w:pPr>
        <w:spacing w:after="240" w:line="240" w:lineRule="exact"/>
        <w:rPr>
          <w:rFonts w:eastAsiaTheme="minorEastAsia" w:cstheme="majorBidi"/>
          <w:color w:val="000000" w:themeColor="text1"/>
          <w:lang w:val="es-419"/>
        </w:rPr>
      </w:pPr>
      <w:r>
        <w:rPr>
          <w:lang w:val="es-ES"/>
        </w:rPr>
        <w:t xml:space="preserve">El grado de acierto de la predicción numérica del tiempo ha mejorado considerablemente en los últimos decenios, y los datos y los productos de esa predicción son esenciales en diversas actividades. Para que la predicción numérica del tiempo determinística a escala mundial se mantenga operativa se necesita una gran cantidad de recursos. Por lo tanto, esa actividad se estableció en la 69ª reunión del </w:t>
      </w:r>
      <w:r w:rsidR="00F81A61">
        <w:rPr>
          <w:lang w:val="es-ES"/>
        </w:rPr>
        <w:t>Consejo Ejecutivo</w:t>
      </w:r>
      <w:r>
        <w:rPr>
          <w:lang w:val="es-ES"/>
        </w:rPr>
        <w:t xml:space="preserve"> (2017) —cuando se revisó a fondo el </w:t>
      </w:r>
      <w:r w:rsidR="007A41B3" w:rsidRPr="002D6434">
        <w:rPr>
          <w:i/>
          <w:iCs/>
          <w:lang w:val="es-ES"/>
        </w:rPr>
        <w:t>Manual del Sistema Mundial de Proceso de Datos y de Predicción</w:t>
      </w:r>
      <w:r>
        <w:rPr>
          <w:lang w:val="es-ES"/>
        </w:rPr>
        <w:t xml:space="preserve"> (</w:t>
      </w:r>
      <w:r w:rsidR="007A41B3">
        <w:rPr>
          <w:lang w:val="es-ES"/>
        </w:rPr>
        <w:t>OMM</w:t>
      </w:r>
      <w:r w:rsidR="007A41B3">
        <w:rPr>
          <w:lang w:val="es-ES"/>
        </w:rPr>
        <w:noBreakHyphen/>
        <w:t>Nº </w:t>
      </w:r>
      <w:r>
        <w:rPr>
          <w:lang w:val="es-ES"/>
        </w:rPr>
        <w:t>485)— con el propósito de poner a disposición de todos los Miembros de la OMM los datos y productos de calidad asegurada de la predicción numérica del tiempo determinística a escala mundial.</w:t>
      </w:r>
    </w:p>
    <w:p w14:paraId="2EE29871" w14:textId="2613E702" w:rsidR="003E5D1B" w:rsidRPr="00867791" w:rsidRDefault="00E26782">
      <w:pPr>
        <w:tabs>
          <w:tab w:val="clear" w:pos="1134"/>
        </w:tabs>
        <w:spacing w:after="240" w:line="200" w:lineRule="exact"/>
        <w:rPr>
          <w:color w:val="000000" w:themeColor="text1"/>
          <w:sz w:val="16"/>
          <w:szCs w:val="16"/>
          <w:lang w:val="es-419"/>
        </w:rPr>
      </w:pPr>
      <w:r w:rsidRPr="00867791">
        <w:rPr>
          <w:sz w:val="16"/>
          <w:szCs w:val="16"/>
          <w:lang w:val="es-ES"/>
        </w:rPr>
        <w:t xml:space="preserve">Nota: Antes de la 69ª reunión del </w:t>
      </w:r>
      <w:r w:rsidR="00F81A61">
        <w:rPr>
          <w:sz w:val="16"/>
          <w:szCs w:val="16"/>
          <w:lang w:val="es-ES"/>
        </w:rPr>
        <w:t>Consejo Ejecutivo</w:t>
      </w:r>
      <w:r w:rsidRPr="00867791">
        <w:rPr>
          <w:sz w:val="16"/>
          <w:szCs w:val="16"/>
          <w:lang w:val="es-ES"/>
        </w:rPr>
        <w:t xml:space="preserve"> (2017), los </w:t>
      </w:r>
      <w:r w:rsidR="00A95DEF" w:rsidRPr="00867791">
        <w:rPr>
          <w:sz w:val="16"/>
          <w:szCs w:val="16"/>
          <w:lang w:val="es-ES"/>
        </w:rPr>
        <w:t>CMM</w:t>
      </w:r>
      <w:r w:rsidRPr="00867791">
        <w:rPr>
          <w:sz w:val="16"/>
          <w:szCs w:val="16"/>
          <w:lang w:val="es-ES"/>
        </w:rPr>
        <w:t xml:space="preserve"> y algunos </w:t>
      </w:r>
      <w:r w:rsidR="00A95DEF" w:rsidRPr="00867791">
        <w:rPr>
          <w:sz w:val="16"/>
          <w:szCs w:val="16"/>
          <w:lang w:val="es-ES"/>
        </w:rPr>
        <w:t>CMRE</w:t>
      </w:r>
      <w:r w:rsidRPr="00867791">
        <w:rPr>
          <w:sz w:val="16"/>
          <w:szCs w:val="16"/>
          <w:lang w:val="es-ES"/>
        </w:rPr>
        <w:t xml:space="preserve"> </w:t>
      </w:r>
      <w:r w:rsidR="00867791">
        <w:rPr>
          <w:sz w:val="16"/>
          <w:szCs w:val="16"/>
          <w:lang w:val="es-ES"/>
        </w:rPr>
        <w:t>con especialización geográfica facilitaban algunos datos</w:t>
      </w:r>
      <w:r w:rsidRPr="00867791">
        <w:rPr>
          <w:sz w:val="16"/>
          <w:szCs w:val="16"/>
          <w:lang w:val="es-ES"/>
        </w:rPr>
        <w:t xml:space="preserve"> y productos </w:t>
      </w:r>
      <w:r w:rsidR="00867791">
        <w:rPr>
          <w:sz w:val="16"/>
          <w:szCs w:val="16"/>
          <w:lang w:val="es-ES"/>
        </w:rPr>
        <w:t xml:space="preserve">de la </w:t>
      </w:r>
      <w:r w:rsidR="00867791" w:rsidRPr="00867791">
        <w:rPr>
          <w:sz w:val="16"/>
          <w:szCs w:val="16"/>
          <w:lang w:val="es-ES"/>
        </w:rPr>
        <w:t>predicción numérica del tiempo a escala mundial</w:t>
      </w:r>
      <w:r w:rsidRPr="00867791">
        <w:rPr>
          <w:sz w:val="16"/>
          <w:szCs w:val="16"/>
          <w:lang w:val="es-ES"/>
        </w:rPr>
        <w:t xml:space="preserve">, pero no lo hacían de manera uniforme. </w:t>
      </w:r>
    </w:p>
    <w:p w14:paraId="45FEF726" w14:textId="1F768025" w:rsidR="003E5D1B" w:rsidRPr="008357EA" w:rsidRDefault="00E26782">
      <w:pPr>
        <w:spacing w:after="240" w:line="240" w:lineRule="exact"/>
        <w:rPr>
          <w:rFonts w:eastAsia="Calibri" w:cs="Times New Roman"/>
          <w:i/>
          <w:iCs/>
          <w:lang w:val="es-419"/>
        </w:rPr>
      </w:pPr>
      <w:r>
        <w:rPr>
          <w:lang w:val="es-ES"/>
        </w:rPr>
        <w:t xml:space="preserve">Los </w:t>
      </w:r>
      <w:r w:rsidR="00A95DEF">
        <w:rPr>
          <w:lang w:val="es-ES"/>
        </w:rPr>
        <w:t>CMRE</w:t>
      </w:r>
      <w:r>
        <w:rPr>
          <w:lang w:val="es-ES"/>
        </w:rPr>
        <w:t xml:space="preserve"> que hacen predicciones numéricas del tiempo determinísticas a escala mundial </w:t>
      </w:r>
      <w:r w:rsidR="00B36420">
        <w:rPr>
          <w:lang w:val="es-ES"/>
        </w:rPr>
        <w:t>se encargan</w:t>
      </w:r>
      <w:r>
        <w:rPr>
          <w:lang w:val="es-ES"/>
        </w:rPr>
        <w:t xml:space="preserve"> de elaborar análisis mundiales de la estructura tridimensional de la atmósfera y campos de predicción mundial de los parámetros atmosféricos básicos y derivados, generados a partir de sus propios sistemas de predicción numérica del tiempo determinística a escala mundial, así como </w:t>
      </w:r>
      <w:r w:rsidR="00B4655B">
        <w:rPr>
          <w:lang w:val="es-ES"/>
        </w:rPr>
        <w:t>estadísticas de verificación normalizada y asociada</w:t>
      </w:r>
      <w:r>
        <w:rPr>
          <w:lang w:val="es-ES"/>
        </w:rPr>
        <w:t xml:space="preserve">. </w:t>
      </w:r>
    </w:p>
    <w:p w14:paraId="615C4D50" w14:textId="632FAE19" w:rsidR="003E5D1B" w:rsidRPr="008357EA" w:rsidRDefault="00E26782">
      <w:pPr>
        <w:spacing w:after="240" w:line="240" w:lineRule="exact"/>
        <w:rPr>
          <w:rFonts w:eastAsiaTheme="minorEastAsia" w:cstheme="majorBidi"/>
          <w:color w:val="000000" w:themeColor="text1"/>
          <w:lang w:val="es-419"/>
        </w:rPr>
      </w:pPr>
      <w:r>
        <w:rPr>
          <w:lang w:val="es-ES"/>
        </w:rPr>
        <w:t xml:space="preserve">i) </w:t>
      </w:r>
      <w:r w:rsidR="00947A8C" w:rsidRPr="00947A8C">
        <w:rPr>
          <w:i/>
          <w:iCs/>
          <w:lang w:val="es-ES"/>
        </w:rPr>
        <w:t>Centros designados y modalidad de trabajo</w:t>
      </w:r>
    </w:p>
    <w:p w14:paraId="2D0ECE1B" w14:textId="408C881A" w:rsidR="003E5D1B" w:rsidRPr="008357EA" w:rsidRDefault="00E26782">
      <w:pPr>
        <w:spacing w:after="240" w:line="240" w:lineRule="exact"/>
        <w:rPr>
          <w:rFonts w:eastAsia="Verdana" w:cs="Verdana"/>
          <w:i/>
          <w:iCs/>
          <w:color w:val="000000" w:themeColor="text1"/>
          <w:lang w:val="es-419"/>
        </w:rPr>
      </w:pPr>
      <w:r>
        <w:rPr>
          <w:lang w:val="es-ES"/>
        </w:rPr>
        <w:t xml:space="preserve">La lista de los </w:t>
      </w:r>
      <w:r w:rsidR="00A95DEF">
        <w:rPr>
          <w:lang w:val="es-ES"/>
        </w:rPr>
        <w:t>CMRE</w:t>
      </w:r>
      <w:r>
        <w:rPr>
          <w:lang w:val="es-ES"/>
        </w:rPr>
        <w:t xml:space="preserve"> designados para la predicción numérica del tiempo determinística a escala mundial figura en la parte III del </w:t>
      </w:r>
      <w:r w:rsidR="00B36420" w:rsidRPr="00B36420">
        <w:rPr>
          <w:i/>
          <w:iCs/>
          <w:lang w:val="es-ES"/>
        </w:rPr>
        <w:t>Manual del GDPFS</w:t>
      </w:r>
      <w:r>
        <w:rPr>
          <w:lang w:val="es-ES"/>
        </w:rPr>
        <w:t xml:space="preserve">. </w:t>
      </w:r>
    </w:p>
    <w:p w14:paraId="2C05A5B2" w14:textId="15064AD2" w:rsidR="003E5D1B" w:rsidRPr="008357EA" w:rsidRDefault="00E26782">
      <w:pPr>
        <w:spacing w:after="240" w:line="240" w:lineRule="exact"/>
        <w:rPr>
          <w:rFonts w:eastAsia="Calibri" w:cs="Times New Roman"/>
          <w:lang w:val="es-419"/>
        </w:rPr>
      </w:pPr>
      <w:r>
        <w:rPr>
          <w:lang w:val="es-ES"/>
        </w:rPr>
        <w:t xml:space="preserve">Cada uno de los </w:t>
      </w:r>
      <w:r w:rsidR="00A95DEF">
        <w:rPr>
          <w:lang w:val="es-ES"/>
        </w:rPr>
        <w:t>CMRE</w:t>
      </w:r>
      <w:r>
        <w:rPr>
          <w:lang w:val="es-ES"/>
        </w:rPr>
        <w:t xml:space="preserve"> proporciona datos y productos con cobertura mundial. No es necesario que los </w:t>
      </w:r>
      <w:r w:rsidR="00A95DEF">
        <w:rPr>
          <w:lang w:val="es-ES"/>
        </w:rPr>
        <w:t>CMRE</w:t>
      </w:r>
      <w:r>
        <w:rPr>
          <w:lang w:val="es-ES"/>
        </w:rPr>
        <w:t xml:space="preserve"> se coordinen. Esos centros deben enviar los resultados de la verificación al </w:t>
      </w:r>
      <w:r w:rsidR="00703B6F">
        <w:rPr>
          <w:lang w:val="es-ES"/>
        </w:rPr>
        <w:t>Centro Principal que se encarga de la</w:t>
      </w:r>
      <w:r>
        <w:rPr>
          <w:lang w:val="es-ES"/>
        </w:rPr>
        <w:t xml:space="preserve"> verificación de la predicción numérica del tiempo determinística.</w:t>
      </w:r>
    </w:p>
    <w:p w14:paraId="6FB266DE" w14:textId="6FE36972" w:rsidR="003E5D1B" w:rsidRPr="008357EA" w:rsidRDefault="00E26782">
      <w:pPr>
        <w:spacing w:after="240" w:line="240" w:lineRule="exact"/>
        <w:rPr>
          <w:rFonts w:eastAsiaTheme="minorEastAsia" w:cstheme="majorBidi"/>
          <w:color w:val="000000" w:themeColor="text1"/>
          <w:lang w:val="es-419"/>
        </w:rPr>
      </w:pPr>
      <w:r>
        <w:rPr>
          <w:lang w:val="es-ES"/>
        </w:rPr>
        <w:t xml:space="preserve">ii) </w:t>
      </w:r>
      <w:r w:rsidR="00947A8C" w:rsidRPr="00947A8C">
        <w:rPr>
          <w:i/>
          <w:iCs/>
          <w:lang w:val="es-ES"/>
        </w:rPr>
        <w:t>Qué beneficios pueden obtener los CMN de los CMRE y cómo pueden contribuir con ellos</w:t>
      </w:r>
      <w:r>
        <w:rPr>
          <w:lang w:val="es-ES"/>
        </w:rPr>
        <w:t xml:space="preserve"> </w:t>
      </w:r>
    </w:p>
    <w:p w14:paraId="2A213E3F" w14:textId="5AAF3D77" w:rsidR="003E5D1B" w:rsidRPr="008357EA" w:rsidRDefault="00E26782">
      <w:pPr>
        <w:spacing w:after="240" w:line="240" w:lineRule="exact"/>
        <w:rPr>
          <w:rFonts w:eastAsia="Calibri" w:cs="Times New Roman"/>
          <w:lang w:val="es-419"/>
        </w:rPr>
      </w:pPr>
      <w:r>
        <w:rPr>
          <w:lang w:val="es-ES"/>
        </w:rPr>
        <w:t xml:space="preserve">Los </w:t>
      </w:r>
      <w:r w:rsidR="006753E1">
        <w:rPr>
          <w:lang w:val="es-ES"/>
        </w:rPr>
        <w:t>CMN</w:t>
      </w:r>
      <w:r>
        <w:rPr>
          <w:lang w:val="es-ES"/>
        </w:rPr>
        <w:t xml:space="preserve"> pueden utilizar el WIS para acceder a los datos y productos que ponen a disposición los </w:t>
      </w:r>
      <w:r w:rsidR="00A95DEF">
        <w:rPr>
          <w:lang w:val="es-ES"/>
        </w:rPr>
        <w:t>CMRE</w:t>
      </w:r>
      <w:r>
        <w:rPr>
          <w:lang w:val="es-ES"/>
        </w:rPr>
        <w:t xml:space="preserve"> que hacen predicciones numéricas del tiempo determinísticas a escala mundial. Los metadatos del </w:t>
      </w:r>
      <w:r w:rsidR="001C5219">
        <w:rPr>
          <w:lang w:val="es-ES"/>
        </w:rPr>
        <w:t>WIS</w:t>
      </w:r>
      <w:r>
        <w:rPr>
          <w:lang w:val="es-ES"/>
        </w:rPr>
        <w:t xml:space="preserve"> asociados a cada archivo de datos y productos se obtienen en el </w:t>
      </w:r>
      <w:hyperlink r:id="rId27" w:history="1">
        <w:r w:rsidR="00464890" w:rsidRPr="00464890">
          <w:rPr>
            <w:rStyle w:val="Hyperlink"/>
            <w:lang w:val="es-ES"/>
          </w:rPr>
          <w:t>portal web del GDPFS</w:t>
        </w:r>
      </w:hyperlink>
      <w:r>
        <w:rPr>
          <w:lang w:val="es-ES"/>
        </w:rPr>
        <w:t xml:space="preserve"> seleccionando la predicción numérica del tiempo determinística a escala mundial en la lista de actividades.</w:t>
      </w:r>
    </w:p>
    <w:p w14:paraId="585DCA6E" w14:textId="57E24240" w:rsidR="003E5D1B" w:rsidRPr="008357EA" w:rsidRDefault="00E26782">
      <w:pPr>
        <w:spacing w:after="240" w:line="240" w:lineRule="exact"/>
        <w:rPr>
          <w:rFonts w:eastAsia="Calibri" w:cs="Times New Roman"/>
          <w:lang w:val="es-419"/>
        </w:rPr>
      </w:pPr>
      <w:r>
        <w:rPr>
          <w:lang w:val="es-ES"/>
        </w:rPr>
        <w:t xml:space="preserve">Se anima a los </w:t>
      </w:r>
      <w:r w:rsidR="006753E1">
        <w:rPr>
          <w:lang w:val="es-ES"/>
        </w:rPr>
        <w:t>CMN</w:t>
      </w:r>
      <w:r>
        <w:rPr>
          <w:lang w:val="es-ES"/>
        </w:rPr>
        <w:t xml:space="preserve"> a contribuir a la actividad de los </w:t>
      </w:r>
      <w:r w:rsidR="00A95DEF">
        <w:rPr>
          <w:lang w:val="es-ES"/>
        </w:rPr>
        <w:t>CMRE</w:t>
      </w:r>
      <w:r>
        <w:rPr>
          <w:lang w:val="es-ES"/>
        </w:rPr>
        <w:t xml:space="preserve"> de las siguientes maneras (enumeración no taxativa): 1) llevando a cabo verificaciones objetivas y proporcionando retroinformación sobre el desempeño de los respectivos modelos en sus países; 2) haciendo estudios de caso sobre fenómenos concretos y transmitiendo esa información a los </w:t>
      </w:r>
      <w:r w:rsidR="00A95DEF">
        <w:rPr>
          <w:lang w:val="es-ES"/>
        </w:rPr>
        <w:t>CMRE</w:t>
      </w:r>
      <w:r>
        <w:rPr>
          <w:lang w:val="es-ES"/>
        </w:rPr>
        <w:t xml:space="preserve">; 3) trabajando con los </w:t>
      </w:r>
      <w:r w:rsidR="00A95DEF">
        <w:rPr>
          <w:lang w:val="es-ES"/>
        </w:rPr>
        <w:t>CMRE</w:t>
      </w:r>
      <w:r>
        <w:rPr>
          <w:lang w:val="es-ES"/>
        </w:rPr>
        <w:t xml:space="preserve"> en avances concretos de los modelos, sobre la base de los resultados de las verificaciones, y 4) proporcionando otros datos observacionales para que se asimilen en los modelos</w:t>
      </w:r>
      <w:r w:rsidR="0038717F">
        <w:rPr>
          <w:lang w:val="es-ES"/>
        </w:rPr>
        <w:t xml:space="preserve">. </w:t>
      </w:r>
    </w:p>
    <w:p w14:paraId="212BCC1C" w14:textId="20D1147F" w:rsidR="003E5D1B" w:rsidRPr="008357EA" w:rsidRDefault="00E26782">
      <w:pPr>
        <w:spacing w:after="240" w:line="240" w:lineRule="exact"/>
        <w:rPr>
          <w:rFonts w:eastAsia="Calibri" w:cs="Times New Roman"/>
          <w:lang w:val="es-419"/>
        </w:rPr>
      </w:pPr>
      <w:r>
        <w:rPr>
          <w:lang w:val="es-ES"/>
        </w:rPr>
        <w:t xml:space="preserve">2.3.1.1.2. </w:t>
      </w:r>
      <w:r w:rsidR="00947A8C" w:rsidRPr="00947A8C">
        <w:rPr>
          <w:i/>
          <w:iCs/>
          <w:lang w:val="es-ES"/>
        </w:rPr>
        <w:t>Esferas de aplicación y servicio que los CMRE podrían respaldar</w:t>
      </w:r>
    </w:p>
    <w:p w14:paraId="28420219" w14:textId="69FC3EF6" w:rsidR="003E5D1B" w:rsidRPr="008357EA" w:rsidRDefault="00E26782">
      <w:pPr>
        <w:spacing w:after="240" w:line="240" w:lineRule="exact"/>
        <w:rPr>
          <w:rFonts w:eastAsiaTheme="minorEastAsia" w:cstheme="majorBidi"/>
          <w:color w:val="000000" w:themeColor="text1"/>
          <w:lang w:val="es-419"/>
        </w:rPr>
      </w:pPr>
      <w:r>
        <w:rPr>
          <w:lang w:val="es-ES"/>
        </w:rPr>
        <w:lastRenderedPageBreak/>
        <w:t xml:space="preserve">Los productos que ponen a disposición los </w:t>
      </w:r>
      <w:r w:rsidR="00A95DEF">
        <w:rPr>
          <w:lang w:val="es-ES"/>
        </w:rPr>
        <w:t>CMRE</w:t>
      </w:r>
      <w:r>
        <w:rPr>
          <w:lang w:val="es-ES"/>
        </w:rPr>
        <w:t xml:space="preserve"> que hacen predicciones numéricas del tiempo determinísticas a escala mundial respaldan muchos tipos de esferas de aplicación y servicio, pero sobre todo las siguientes:</w:t>
      </w:r>
    </w:p>
    <w:p w14:paraId="07574E34" w14:textId="77777777" w:rsidR="003E5D1B" w:rsidRDefault="00E26782">
      <w:pPr>
        <w:numPr>
          <w:ilvl w:val="0"/>
          <w:numId w:val="10"/>
        </w:numPr>
        <w:tabs>
          <w:tab w:val="clear" w:pos="1134"/>
          <w:tab w:val="left" w:pos="960"/>
        </w:tabs>
        <w:spacing w:after="240" w:line="240" w:lineRule="exact"/>
        <w:rPr>
          <w:color w:val="000000" w:themeColor="text1"/>
        </w:rPr>
      </w:pPr>
      <w:r>
        <w:rPr>
          <w:lang w:val="es-ES"/>
        </w:rPr>
        <w:t>Servicios públicos de predicción meteorológica</w:t>
      </w:r>
    </w:p>
    <w:p w14:paraId="3B5FE18E" w14:textId="77777777" w:rsidR="003E5D1B" w:rsidRPr="008357EA" w:rsidRDefault="00E26782">
      <w:pPr>
        <w:numPr>
          <w:ilvl w:val="0"/>
          <w:numId w:val="10"/>
        </w:numPr>
        <w:tabs>
          <w:tab w:val="clear" w:pos="1134"/>
          <w:tab w:val="left" w:pos="960"/>
        </w:tabs>
        <w:spacing w:after="240" w:line="240" w:lineRule="exact"/>
        <w:rPr>
          <w:color w:val="000000" w:themeColor="text1"/>
          <w:lang w:val="es-419"/>
        </w:rPr>
      </w:pPr>
      <w:r>
        <w:rPr>
          <w:lang w:val="es-ES"/>
        </w:rPr>
        <w:t xml:space="preserve">Sistemas de alerta temprana de peligros múltiples </w:t>
      </w:r>
    </w:p>
    <w:p w14:paraId="685CD50F" w14:textId="77777777" w:rsidR="003E5D1B" w:rsidRDefault="00E26782">
      <w:pPr>
        <w:numPr>
          <w:ilvl w:val="0"/>
          <w:numId w:val="10"/>
        </w:numPr>
        <w:tabs>
          <w:tab w:val="clear" w:pos="1134"/>
          <w:tab w:val="left" w:pos="960"/>
        </w:tabs>
        <w:spacing w:after="240" w:line="240" w:lineRule="exact"/>
        <w:rPr>
          <w:color w:val="000000" w:themeColor="text1"/>
        </w:rPr>
      </w:pPr>
      <w:r>
        <w:rPr>
          <w:lang w:val="es-ES"/>
        </w:rPr>
        <w:t>Servicios de meteorología aeronáutica</w:t>
      </w:r>
    </w:p>
    <w:p w14:paraId="4C667D6F" w14:textId="77777777" w:rsidR="003E5D1B" w:rsidRPr="008357EA" w:rsidRDefault="00E26782">
      <w:pPr>
        <w:numPr>
          <w:ilvl w:val="0"/>
          <w:numId w:val="10"/>
        </w:numPr>
        <w:tabs>
          <w:tab w:val="clear" w:pos="1134"/>
          <w:tab w:val="left" w:pos="960"/>
        </w:tabs>
        <w:spacing w:after="240" w:line="240" w:lineRule="exact"/>
        <w:rPr>
          <w:color w:val="000000" w:themeColor="text1"/>
          <w:lang w:val="es-419"/>
        </w:rPr>
      </w:pPr>
      <w:r>
        <w:rPr>
          <w:lang w:val="es-ES"/>
        </w:rPr>
        <w:t>Servicios meteorológicos marinos y aplicaciones oceánicas</w:t>
      </w:r>
    </w:p>
    <w:p w14:paraId="12E6F520" w14:textId="77777777" w:rsidR="003E5D1B" w:rsidRPr="008357EA" w:rsidRDefault="00E26782">
      <w:pPr>
        <w:numPr>
          <w:ilvl w:val="0"/>
          <w:numId w:val="10"/>
        </w:numPr>
        <w:tabs>
          <w:tab w:val="clear" w:pos="1134"/>
          <w:tab w:val="left" w:pos="960"/>
        </w:tabs>
        <w:spacing w:after="240" w:line="240" w:lineRule="exact"/>
        <w:rPr>
          <w:color w:val="000000" w:themeColor="text1"/>
          <w:lang w:val="es-419"/>
        </w:rPr>
      </w:pPr>
      <w:r>
        <w:rPr>
          <w:lang w:val="es-ES"/>
        </w:rPr>
        <w:t>Servicios de recursos hídricos e hidrológicos</w:t>
      </w:r>
    </w:p>
    <w:p w14:paraId="41569262" w14:textId="77777777" w:rsidR="003E5D1B" w:rsidRDefault="00E26782">
      <w:pPr>
        <w:numPr>
          <w:ilvl w:val="0"/>
          <w:numId w:val="10"/>
        </w:numPr>
        <w:tabs>
          <w:tab w:val="clear" w:pos="1134"/>
          <w:tab w:val="left" w:pos="960"/>
        </w:tabs>
        <w:spacing w:after="240" w:line="240" w:lineRule="exact"/>
        <w:rPr>
          <w:color w:val="000000" w:themeColor="text1"/>
        </w:rPr>
      </w:pPr>
      <w:r>
        <w:rPr>
          <w:lang w:val="es-ES"/>
        </w:rPr>
        <w:t>Servicios de agrometeorología</w:t>
      </w:r>
    </w:p>
    <w:p w14:paraId="313A9790" w14:textId="3BAAFB8C" w:rsidR="003E5D1B" w:rsidRPr="008357EA" w:rsidRDefault="00E26782">
      <w:pPr>
        <w:spacing w:after="240" w:line="276" w:lineRule="auto"/>
        <w:rPr>
          <w:rFonts w:eastAsia="Calibri" w:cs="Times New Roman"/>
          <w:lang w:val="es-419"/>
        </w:rPr>
      </w:pPr>
      <w:r>
        <w:rPr>
          <w:lang w:val="es-ES"/>
        </w:rPr>
        <w:t xml:space="preserve">2.3.1.1.3. </w:t>
      </w:r>
      <w:r w:rsidR="008B0C15" w:rsidRPr="008B0C15">
        <w:rPr>
          <w:i/>
          <w:iCs/>
          <w:lang w:val="es-ES"/>
        </w:rPr>
        <w:t>Recomendaciones sobre la integración en el proceso nacional de predicción</w:t>
      </w:r>
    </w:p>
    <w:p w14:paraId="2FD5409C" w14:textId="77777777" w:rsidR="003E5D1B" w:rsidRPr="008357EA" w:rsidRDefault="00E26782">
      <w:pPr>
        <w:spacing w:after="240" w:line="240" w:lineRule="exact"/>
        <w:rPr>
          <w:rFonts w:eastAsiaTheme="minorEastAsia" w:cstheme="majorBidi"/>
          <w:b/>
          <w:bCs/>
          <w:color w:val="000000" w:themeColor="text1"/>
          <w:lang w:val="es-419"/>
        </w:rPr>
      </w:pPr>
      <w:r>
        <w:rPr>
          <w:lang w:val="es-ES"/>
        </w:rPr>
        <w:t>En el apéndice 2.3.1 de la presente Guía se describe el procedimiento de predicción recomendado para el período de predicción D+0 a D+3 (donde D significa "día", y "+número" representa la duración en días). Los productos de predicción numérica del tiempo determinística a escala mundial se suelen utilizar en los siguientes pasos de dicho apéndice:</w:t>
      </w:r>
    </w:p>
    <w:p w14:paraId="231C7D96" w14:textId="77777777" w:rsidR="003E5D1B" w:rsidRPr="008357EA" w:rsidRDefault="00E26782">
      <w:pPr>
        <w:numPr>
          <w:ilvl w:val="0"/>
          <w:numId w:val="11"/>
        </w:numPr>
        <w:tabs>
          <w:tab w:val="clear" w:pos="1134"/>
          <w:tab w:val="left" w:pos="960"/>
        </w:tabs>
        <w:spacing w:after="240" w:line="240" w:lineRule="exact"/>
        <w:rPr>
          <w:b/>
          <w:bCs/>
          <w:color w:val="000000" w:themeColor="text1"/>
          <w:szCs w:val="22"/>
          <w:lang w:val="es-419"/>
        </w:rPr>
      </w:pPr>
      <w:r>
        <w:rPr>
          <w:lang w:val="es-ES"/>
        </w:rPr>
        <w:t>PASO 2: Análisis - Examinar los mapas de análisis basados en modelos.</w:t>
      </w:r>
    </w:p>
    <w:p w14:paraId="170A9FF6" w14:textId="77777777" w:rsidR="003E5D1B" w:rsidRPr="008357EA" w:rsidRDefault="00E26782">
      <w:pPr>
        <w:numPr>
          <w:ilvl w:val="0"/>
          <w:numId w:val="11"/>
        </w:numPr>
        <w:tabs>
          <w:tab w:val="clear" w:pos="1134"/>
          <w:tab w:val="left" w:pos="960"/>
        </w:tabs>
        <w:spacing w:after="240" w:line="240" w:lineRule="exact"/>
        <w:rPr>
          <w:b/>
          <w:bCs/>
          <w:color w:val="000000" w:themeColor="text1"/>
          <w:szCs w:val="22"/>
          <w:lang w:val="es-419"/>
        </w:rPr>
      </w:pPr>
      <w:r>
        <w:rPr>
          <w:lang w:val="es-ES"/>
        </w:rPr>
        <w:t>PASO 4: Predicción numérica del tiempo determinística - Examinar la evolución sinóptica que aparece en la predicción numérica del tiempo a escala mundial.</w:t>
      </w:r>
    </w:p>
    <w:p w14:paraId="0DA76A40" w14:textId="77777777" w:rsidR="003E5D1B" w:rsidRPr="008357EA" w:rsidRDefault="00E26782">
      <w:pPr>
        <w:numPr>
          <w:ilvl w:val="0"/>
          <w:numId w:val="11"/>
        </w:numPr>
        <w:tabs>
          <w:tab w:val="clear" w:pos="1134"/>
          <w:tab w:val="left" w:pos="960"/>
        </w:tabs>
        <w:spacing w:after="240" w:line="240" w:lineRule="exact"/>
        <w:rPr>
          <w:b/>
          <w:bCs/>
          <w:color w:val="000000" w:themeColor="text1"/>
          <w:szCs w:val="22"/>
          <w:lang w:val="es-419"/>
        </w:rPr>
      </w:pPr>
      <w:r>
        <w:rPr>
          <w:lang w:val="es-ES"/>
        </w:rPr>
        <w:t>PASO 5: Predicción numérica del tiempo por conjuntos - Examinar la coincidencia entre las medias de los conjuntos y la predicción numérica del tiempo determinística.</w:t>
      </w:r>
    </w:p>
    <w:p w14:paraId="6AA3D078" w14:textId="77777777" w:rsidR="003E5D1B" w:rsidRPr="008357EA" w:rsidRDefault="00E26782">
      <w:pPr>
        <w:numPr>
          <w:ilvl w:val="0"/>
          <w:numId w:val="11"/>
        </w:numPr>
        <w:tabs>
          <w:tab w:val="clear" w:pos="1134"/>
          <w:tab w:val="left" w:pos="960"/>
        </w:tabs>
        <w:spacing w:after="240" w:line="240" w:lineRule="exact"/>
        <w:rPr>
          <w:b/>
          <w:bCs/>
          <w:color w:val="000000" w:themeColor="text1"/>
          <w:szCs w:val="22"/>
          <w:lang w:val="es-419"/>
        </w:rPr>
      </w:pPr>
      <w:r>
        <w:rPr>
          <w:lang w:val="es-ES"/>
        </w:rPr>
        <w:t>PASO 6: Debate - Acordar una predicción consensuada.</w:t>
      </w:r>
    </w:p>
    <w:p w14:paraId="298186C7" w14:textId="77777777" w:rsidR="003E5D1B" w:rsidRPr="008357EA" w:rsidRDefault="00E26782">
      <w:pPr>
        <w:spacing w:after="240" w:line="240" w:lineRule="exact"/>
        <w:rPr>
          <w:rFonts w:eastAsiaTheme="minorEastAsia" w:cstheme="majorBidi"/>
          <w:b/>
          <w:bCs/>
          <w:color w:val="000000" w:themeColor="text1"/>
          <w:lang w:val="es-419"/>
        </w:rPr>
      </w:pPr>
      <w:r>
        <w:rPr>
          <w:lang w:val="es-ES"/>
        </w:rPr>
        <w:t>En el apéndice 2.3.2 de la presente Guía se describe el procedimiento de predicción recomendado para el período de predicción D+4 a D+10. Los productos de predicción numérica del tiempo determinística a escala mundial se suelen utilizar en los siguientes pasos de dicho apéndice:</w:t>
      </w:r>
    </w:p>
    <w:p w14:paraId="691C4B72" w14:textId="77777777" w:rsidR="003E5D1B" w:rsidRPr="008357EA" w:rsidRDefault="00E26782">
      <w:pPr>
        <w:numPr>
          <w:ilvl w:val="0"/>
          <w:numId w:val="12"/>
        </w:numPr>
        <w:tabs>
          <w:tab w:val="clear" w:pos="1134"/>
          <w:tab w:val="left" w:pos="960"/>
        </w:tabs>
        <w:spacing w:after="240" w:line="240" w:lineRule="exact"/>
        <w:rPr>
          <w:b/>
          <w:bCs/>
          <w:color w:val="000000" w:themeColor="text1"/>
          <w:szCs w:val="22"/>
          <w:lang w:val="es-419"/>
        </w:rPr>
      </w:pPr>
      <w:r>
        <w:rPr>
          <w:lang w:val="es-ES"/>
        </w:rPr>
        <w:t>PASO 2: Predicción numérica del tiempo determinística - Examinar la evolución sinóptica que aparece en la predicción numérica del tiempo a escala mundial.</w:t>
      </w:r>
    </w:p>
    <w:p w14:paraId="7D87355E" w14:textId="77777777" w:rsidR="003E5D1B" w:rsidRPr="008357EA" w:rsidRDefault="00E26782">
      <w:pPr>
        <w:numPr>
          <w:ilvl w:val="0"/>
          <w:numId w:val="12"/>
        </w:numPr>
        <w:tabs>
          <w:tab w:val="clear" w:pos="1134"/>
          <w:tab w:val="left" w:pos="960"/>
        </w:tabs>
        <w:spacing w:after="240" w:line="240" w:lineRule="exact"/>
        <w:rPr>
          <w:b/>
          <w:bCs/>
          <w:color w:val="000000" w:themeColor="text1"/>
          <w:szCs w:val="22"/>
          <w:lang w:val="es-419"/>
        </w:rPr>
      </w:pPr>
      <w:r>
        <w:rPr>
          <w:lang w:val="es-ES"/>
        </w:rPr>
        <w:t>PASO 3: Predicción numérica del tiempo por conjuntos - Examinar la coincidencia entre las medias de los conjuntos y la predicción numérica del tiempo determinística.</w:t>
      </w:r>
    </w:p>
    <w:p w14:paraId="47175900" w14:textId="166ACB1F" w:rsidR="003E5D1B" w:rsidRPr="008357EA" w:rsidRDefault="00E26782">
      <w:pPr>
        <w:numPr>
          <w:ilvl w:val="0"/>
          <w:numId w:val="12"/>
        </w:numPr>
        <w:tabs>
          <w:tab w:val="clear" w:pos="1134"/>
          <w:tab w:val="left" w:pos="960"/>
        </w:tabs>
        <w:spacing w:after="240" w:line="240" w:lineRule="exact"/>
        <w:rPr>
          <w:b/>
          <w:bCs/>
          <w:color w:val="000000" w:themeColor="text1"/>
          <w:szCs w:val="22"/>
          <w:lang w:val="es-419"/>
        </w:rPr>
      </w:pPr>
      <w:r>
        <w:rPr>
          <w:lang w:val="es-ES"/>
        </w:rPr>
        <w:t xml:space="preserve">PASO 4: </w:t>
      </w:r>
      <w:r w:rsidR="00C71F64">
        <w:rPr>
          <w:lang w:val="es-ES"/>
        </w:rPr>
        <w:t>¿Condiciones adversas?</w:t>
      </w:r>
      <w:r>
        <w:rPr>
          <w:lang w:val="es-ES"/>
        </w:rPr>
        <w:t xml:space="preserve"> - Observar las señales intensas de </w:t>
      </w:r>
      <w:r w:rsidR="00C71F64">
        <w:rPr>
          <w:lang w:val="es-ES"/>
        </w:rPr>
        <w:t>posibles condiciones meteorológicas anómalas y adversas</w:t>
      </w:r>
      <w:r>
        <w:rPr>
          <w:lang w:val="es-ES"/>
        </w:rPr>
        <w:t>.</w:t>
      </w:r>
    </w:p>
    <w:p w14:paraId="65BE2698" w14:textId="35F458D7" w:rsidR="003E5D1B" w:rsidRPr="008357EA" w:rsidRDefault="00E26782">
      <w:pPr>
        <w:spacing w:after="240" w:line="276" w:lineRule="auto"/>
        <w:rPr>
          <w:rFonts w:eastAsia="Calibri" w:cs="Times New Roman"/>
          <w:lang w:val="es-419"/>
        </w:rPr>
      </w:pPr>
      <w:r>
        <w:rPr>
          <w:lang w:val="es-ES"/>
        </w:rPr>
        <w:t>2.3.1.1.4</w:t>
      </w:r>
      <w:r w:rsidR="0038717F">
        <w:rPr>
          <w:lang w:val="es-ES"/>
        </w:rPr>
        <w:t xml:space="preserve">. </w:t>
      </w:r>
      <w:r w:rsidR="00947A8C" w:rsidRPr="00947A8C">
        <w:rPr>
          <w:i/>
          <w:iCs/>
          <w:lang w:val="es-ES"/>
        </w:rPr>
        <w:t>Mecanismo de retroinformación sobre la utilidad y exactitud de los productos</w:t>
      </w:r>
    </w:p>
    <w:p w14:paraId="4ADB8E01" w14:textId="50BF2A4A" w:rsidR="003E5D1B" w:rsidRPr="008357EA" w:rsidRDefault="00E26782">
      <w:pPr>
        <w:spacing w:after="240" w:line="240" w:lineRule="exact"/>
        <w:rPr>
          <w:rFonts w:eastAsiaTheme="minorEastAsia" w:cs="Segoe UI"/>
          <w:color w:val="000000" w:themeColor="text1"/>
          <w:lang w:val="es-419"/>
        </w:rPr>
      </w:pPr>
      <w:r>
        <w:rPr>
          <w:lang w:val="es-ES"/>
        </w:rPr>
        <w:t xml:space="preserve">Se anima a los </w:t>
      </w:r>
      <w:r w:rsidR="006753E1">
        <w:rPr>
          <w:lang w:val="es-ES"/>
        </w:rPr>
        <w:t>CMN</w:t>
      </w:r>
      <w:r>
        <w:rPr>
          <w:lang w:val="es-ES"/>
        </w:rPr>
        <w:t xml:space="preserve"> a verificar los productos de predicción numérica del tiempo determinística a escala mundial utilizando los procedimientos normalizados de verificación que se definen en el apéndice 2.2.34 del </w:t>
      </w:r>
      <w:r w:rsidR="00B36420" w:rsidRPr="00B36420">
        <w:rPr>
          <w:i/>
          <w:iCs/>
          <w:lang w:val="es-ES"/>
        </w:rPr>
        <w:t>Manual del GDPFS</w:t>
      </w:r>
      <w:r>
        <w:rPr>
          <w:lang w:val="es-ES"/>
        </w:rPr>
        <w:t xml:space="preserve">, y a poner los resultados de la verificación a disposición de los </w:t>
      </w:r>
      <w:r w:rsidR="00A95DEF">
        <w:rPr>
          <w:lang w:val="es-ES"/>
        </w:rPr>
        <w:t>CMRE</w:t>
      </w:r>
      <w:r>
        <w:rPr>
          <w:lang w:val="es-ES"/>
        </w:rPr>
        <w:t xml:space="preserve"> que los produjeron.</w:t>
      </w:r>
    </w:p>
    <w:p w14:paraId="63E38EB5" w14:textId="753E8557" w:rsidR="003E5D1B" w:rsidRPr="008357EA" w:rsidRDefault="00E26782">
      <w:pPr>
        <w:keepNext/>
        <w:spacing w:before="240" w:after="240" w:line="240" w:lineRule="exact"/>
        <w:ind w:left="1123" w:hanging="1123"/>
        <w:outlineLvl w:val="5"/>
        <w:rPr>
          <w:rFonts w:eastAsiaTheme="minorEastAsia" w:cstheme="majorBidi"/>
          <w:b/>
          <w:bCs/>
          <w:i/>
          <w:iCs/>
          <w:color w:val="000000" w:themeColor="text1"/>
          <w:lang w:val="es-419"/>
        </w:rPr>
      </w:pPr>
      <w:bookmarkStart w:id="112" w:name="_Toc113003313"/>
      <w:bookmarkStart w:id="113" w:name="_Toc113024438"/>
      <w:bookmarkStart w:id="114" w:name="_Toc117501970"/>
      <w:r>
        <w:rPr>
          <w:b/>
          <w:bCs/>
          <w:i/>
          <w:iCs/>
          <w:lang w:val="es-ES"/>
        </w:rPr>
        <w:t>2.3.1.2</w:t>
      </w:r>
      <w:r>
        <w:rPr>
          <w:lang w:val="es-ES"/>
        </w:rPr>
        <w:tab/>
      </w:r>
      <w:r>
        <w:rPr>
          <w:b/>
          <w:bCs/>
          <w:i/>
          <w:iCs/>
          <w:lang w:val="es-ES"/>
        </w:rPr>
        <w:t>Predicción numérica del tiempo determinística de área limitada</w:t>
      </w:r>
      <w:bookmarkEnd w:id="112"/>
      <w:bookmarkEnd w:id="113"/>
      <w:bookmarkEnd w:id="114"/>
    </w:p>
    <w:p w14:paraId="2BE6A77F" w14:textId="1E58682C" w:rsidR="003E5D1B" w:rsidRPr="008357EA" w:rsidRDefault="00E26782">
      <w:pPr>
        <w:spacing w:after="240" w:line="240" w:lineRule="exact"/>
        <w:rPr>
          <w:rFonts w:eastAsiaTheme="minorEastAsia" w:cstheme="majorBidi"/>
          <w:color w:val="000000" w:themeColor="text1"/>
          <w:lang w:val="es-419"/>
        </w:rPr>
      </w:pPr>
      <w:r>
        <w:rPr>
          <w:lang w:val="es-ES"/>
        </w:rPr>
        <w:t xml:space="preserve">2.3.1.2.1 </w:t>
      </w:r>
      <w:r w:rsidR="00947A8C" w:rsidRPr="00947A8C">
        <w:rPr>
          <w:i/>
          <w:iCs/>
          <w:lang w:val="es-ES"/>
        </w:rPr>
        <w:t>Resumen general de la actividad de los CMRE</w:t>
      </w:r>
      <w:r w:rsidR="00947A8C">
        <w:rPr>
          <w:lang w:val="es-ES"/>
        </w:rPr>
        <w:t xml:space="preserve"> </w:t>
      </w:r>
    </w:p>
    <w:p w14:paraId="4AB482A3" w14:textId="4F0FA382" w:rsidR="003E5D1B" w:rsidRPr="008357EA" w:rsidRDefault="00E26782">
      <w:pPr>
        <w:spacing w:after="240" w:line="240" w:lineRule="exact"/>
        <w:rPr>
          <w:rFonts w:eastAsiaTheme="minorEastAsia" w:cstheme="majorBidi"/>
          <w:color w:val="000000" w:themeColor="text1"/>
          <w:lang w:val="es-419"/>
        </w:rPr>
      </w:pPr>
      <w:r>
        <w:rPr>
          <w:lang w:val="es-ES"/>
        </w:rPr>
        <w:lastRenderedPageBreak/>
        <w:t xml:space="preserve">Los Miembros de la OMM han participado de forma significativa en la predicción numérica del tiempo determinística de área limitada, sobre todo mediante </w:t>
      </w:r>
      <w:r w:rsidR="00CB0838">
        <w:rPr>
          <w:lang w:val="es-ES"/>
        </w:rPr>
        <w:t>la creación</w:t>
      </w:r>
      <w:r>
        <w:rPr>
          <w:lang w:val="es-ES"/>
        </w:rPr>
        <w:t xml:space="preserve"> de consorcios en los que varios SMHN contribuyen al desarrollo y la aplicación de códigos. Teniendo en cuenta la cantidad considerable de recursos que se necesitan para hacer funcionar ese tipo de sistemas, en la 69ª reunión del </w:t>
      </w:r>
      <w:r w:rsidR="00F81A61">
        <w:rPr>
          <w:lang w:val="es-ES"/>
        </w:rPr>
        <w:t>Consejo Ejecutivo</w:t>
      </w:r>
      <w:r>
        <w:rPr>
          <w:lang w:val="es-ES"/>
        </w:rPr>
        <w:t xml:space="preserve"> (2017) se estableció esa actividad con el propósito de poner a disposición de todos los Miembros de la OMM los datos y productos de calidad asegurada de la predicción numérica del tiempo determinística de alta resolución.</w:t>
      </w:r>
    </w:p>
    <w:p w14:paraId="0A047658" w14:textId="08ADCF1D" w:rsidR="003E5D1B" w:rsidRPr="008357EA" w:rsidRDefault="00E26782">
      <w:pPr>
        <w:spacing w:after="240" w:line="240" w:lineRule="exact"/>
        <w:rPr>
          <w:rFonts w:eastAsia="Calibri" w:cs="Times New Roman"/>
          <w:i/>
          <w:iCs/>
          <w:lang w:val="es-419"/>
        </w:rPr>
      </w:pPr>
      <w:r>
        <w:rPr>
          <w:lang w:val="es-ES"/>
        </w:rPr>
        <w:t xml:space="preserve">Los </w:t>
      </w:r>
      <w:r w:rsidR="00A95DEF">
        <w:rPr>
          <w:lang w:val="es-ES"/>
        </w:rPr>
        <w:t>CMRE</w:t>
      </w:r>
      <w:r>
        <w:rPr>
          <w:lang w:val="es-ES"/>
        </w:rPr>
        <w:t xml:space="preserve"> que hacen predicciones numéricas del tiempo determinísticas de área limitada </w:t>
      </w:r>
      <w:r w:rsidR="00CB0838">
        <w:rPr>
          <w:lang w:val="es-ES"/>
        </w:rPr>
        <w:t>se encargan de elaborar</w:t>
      </w:r>
      <w:r>
        <w:rPr>
          <w:lang w:val="es-ES"/>
        </w:rPr>
        <w:t xml:space="preserve"> análisis de área limitada de la estructura tridimensional de la atmósfera y campos de predicción de área limitada de los parámetros atmosféricos básicos y derivados, generados a partir de sus propios sistemas de predicción numérica del tiempo determinística de área limitada, así como </w:t>
      </w:r>
      <w:r w:rsidR="00B4655B">
        <w:rPr>
          <w:lang w:val="es-ES"/>
        </w:rPr>
        <w:t>estadísticas de verificación normalizada y asociada</w:t>
      </w:r>
      <w:r>
        <w:rPr>
          <w:lang w:val="es-ES"/>
        </w:rPr>
        <w:t xml:space="preserve">. </w:t>
      </w:r>
    </w:p>
    <w:p w14:paraId="683CBA40" w14:textId="5102937C" w:rsidR="003E5D1B" w:rsidRPr="008357EA" w:rsidRDefault="00E26782">
      <w:pPr>
        <w:spacing w:after="240" w:line="240" w:lineRule="exact"/>
        <w:rPr>
          <w:rFonts w:eastAsiaTheme="minorEastAsia" w:cstheme="majorBidi"/>
          <w:color w:val="000000" w:themeColor="text1"/>
          <w:lang w:val="es-419"/>
        </w:rPr>
      </w:pPr>
      <w:r>
        <w:rPr>
          <w:lang w:val="es-ES"/>
        </w:rPr>
        <w:t xml:space="preserve">i) </w:t>
      </w:r>
      <w:r w:rsidR="00947A8C" w:rsidRPr="00947A8C">
        <w:rPr>
          <w:i/>
          <w:iCs/>
          <w:lang w:val="es-ES"/>
        </w:rPr>
        <w:t>Centros designados y modalidad de trabajo</w:t>
      </w:r>
    </w:p>
    <w:p w14:paraId="7CC2107F" w14:textId="5F7D8A67" w:rsidR="003E5D1B" w:rsidRPr="008357EA" w:rsidRDefault="00E26782">
      <w:pPr>
        <w:spacing w:after="240" w:line="240" w:lineRule="exact"/>
        <w:rPr>
          <w:rFonts w:eastAsia="Verdana" w:cs="Verdana"/>
          <w:i/>
          <w:iCs/>
          <w:color w:val="000000" w:themeColor="text1"/>
          <w:lang w:val="es-419"/>
        </w:rPr>
      </w:pPr>
      <w:r>
        <w:rPr>
          <w:lang w:val="es-ES"/>
        </w:rPr>
        <w:t xml:space="preserve">La lista de los </w:t>
      </w:r>
      <w:r w:rsidR="00A95DEF">
        <w:rPr>
          <w:lang w:val="es-ES"/>
        </w:rPr>
        <w:t>CMRE</w:t>
      </w:r>
      <w:r>
        <w:rPr>
          <w:lang w:val="es-ES"/>
        </w:rPr>
        <w:t xml:space="preserve"> designados para la predicción numérica del tiempo determinística de área limitada figura en la parte III del </w:t>
      </w:r>
      <w:r w:rsidR="00B36420" w:rsidRPr="00B36420">
        <w:rPr>
          <w:i/>
          <w:iCs/>
          <w:lang w:val="es-ES"/>
        </w:rPr>
        <w:t>Manual del GDPFS</w:t>
      </w:r>
      <w:r>
        <w:rPr>
          <w:lang w:val="es-ES"/>
        </w:rPr>
        <w:t xml:space="preserve">. </w:t>
      </w:r>
    </w:p>
    <w:p w14:paraId="3BFFE3E1" w14:textId="712433A0" w:rsidR="003E5D1B" w:rsidRPr="008357EA" w:rsidRDefault="00E26782">
      <w:pPr>
        <w:spacing w:after="240" w:line="240" w:lineRule="exact"/>
        <w:rPr>
          <w:rFonts w:eastAsia="Calibri" w:cs="Times New Roman"/>
          <w:lang w:val="es-419"/>
        </w:rPr>
      </w:pPr>
      <w:r>
        <w:rPr>
          <w:lang w:val="es-ES"/>
        </w:rPr>
        <w:t xml:space="preserve">Cada uno de los </w:t>
      </w:r>
      <w:r w:rsidR="00A95DEF">
        <w:rPr>
          <w:lang w:val="es-ES"/>
        </w:rPr>
        <w:t>CMRE</w:t>
      </w:r>
      <w:r>
        <w:rPr>
          <w:lang w:val="es-ES"/>
        </w:rPr>
        <w:t xml:space="preserve"> proporciona datos y productos con cobertura regional asociada al dominio del modelo. No es necesario que los </w:t>
      </w:r>
      <w:r w:rsidR="00A95DEF">
        <w:rPr>
          <w:lang w:val="es-ES"/>
        </w:rPr>
        <w:t>CMRE</w:t>
      </w:r>
      <w:r>
        <w:rPr>
          <w:lang w:val="es-ES"/>
        </w:rPr>
        <w:t xml:space="preserve"> se coordinen. Los </w:t>
      </w:r>
      <w:r w:rsidR="00A95DEF">
        <w:rPr>
          <w:lang w:val="es-ES"/>
        </w:rPr>
        <w:t>CMRE</w:t>
      </w:r>
      <w:r>
        <w:rPr>
          <w:lang w:val="es-ES"/>
        </w:rPr>
        <w:t xml:space="preserve"> deben publicar los resultados de sus verificaciones en el sitio web.</w:t>
      </w:r>
    </w:p>
    <w:p w14:paraId="62D5FF6F" w14:textId="7F68468E" w:rsidR="003E5D1B" w:rsidRPr="008357EA" w:rsidRDefault="00E26782">
      <w:pPr>
        <w:spacing w:after="240" w:line="240" w:lineRule="exact"/>
        <w:rPr>
          <w:rFonts w:eastAsiaTheme="minorEastAsia" w:cstheme="majorBidi"/>
          <w:color w:val="000000" w:themeColor="text1"/>
          <w:lang w:val="es-419"/>
        </w:rPr>
      </w:pPr>
      <w:r>
        <w:rPr>
          <w:lang w:val="es-ES"/>
        </w:rPr>
        <w:t xml:space="preserve">ii) </w:t>
      </w:r>
      <w:r w:rsidR="00947A8C" w:rsidRPr="00947A8C">
        <w:rPr>
          <w:i/>
          <w:iCs/>
          <w:lang w:val="es-ES"/>
        </w:rPr>
        <w:t>Qué beneficios pueden obtener los CMN de los CMRE y cómo pueden contribuir con ellos</w:t>
      </w:r>
      <w:r>
        <w:rPr>
          <w:lang w:val="es-ES"/>
        </w:rPr>
        <w:t xml:space="preserve"> </w:t>
      </w:r>
    </w:p>
    <w:p w14:paraId="46B53737" w14:textId="1A5BD5E0" w:rsidR="003E5D1B" w:rsidRPr="008357EA" w:rsidRDefault="00E26782">
      <w:pPr>
        <w:spacing w:after="240" w:line="240" w:lineRule="exact"/>
        <w:rPr>
          <w:rFonts w:eastAsia="Calibri" w:cs="Times New Roman"/>
          <w:lang w:val="es-419"/>
        </w:rPr>
      </w:pPr>
      <w:r>
        <w:rPr>
          <w:lang w:val="es-ES"/>
        </w:rPr>
        <w:t xml:space="preserve">Los </w:t>
      </w:r>
      <w:r w:rsidR="006753E1">
        <w:rPr>
          <w:lang w:val="es-ES"/>
        </w:rPr>
        <w:t>CMN</w:t>
      </w:r>
      <w:r>
        <w:rPr>
          <w:lang w:val="es-ES"/>
        </w:rPr>
        <w:t xml:space="preserve"> pueden utilizar el WIS para acceder a los datos y productos que ponen a disposición los </w:t>
      </w:r>
      <w:r w:rsidR="00A95DEF">
        <w:rPr>
          <w:lang w:val="es-ES"/>
        </w:rPr>
        <w:t>CMRE</w:t>
      </w:r>
      <w:r>
        <w:rPr>
          <w:lang w:val="es-ES"/>
        </w:rPr>
        <w:t xml:space="preserve"> que hacen predicciones numéricas del tiempo determinísticas de área limitada. Los metadatos del </w:t>
      </w:r>
      <w:r w:rsidR="001C5219">
        <w:rPr>
          <w:lang w:val="es-ES"/>
        </w:rPr>
        <w:t>WIS</w:t>
      </w:r>
      <w:r>
        <w:rPr>
          <w:lang w:val="es-ES"/>
        </w:rPr>
        <w:t xml:space="preserve"> asociados a cada archivo de datos y productos se obtienen en el </w:t>
      </w:r>
      <w:hyperlink r:id="rId28" w:history="1">
        <w:r w:rsidR="00464890" w:rsidRPr="00464890">
          <w:rPr>
            <w:rStyle w:val="Hyperlink"/>
            <w:lang w:val="es-ES"/>
          </w:rPr>
          <w:t>portal web del GDPFS</w:t>
        </w:r>
      </w:hyperlink>
      <w:r>
        <w:rPr>
          <w:lang w:val="es-ES"/>
        </w:rPr>
        <w:t xml:space="preserve"> seleccionando la predicción numérica del tiempo determinística de área limitada en la lista de actividades.</w:t>
      </w:r>
    </w:p>
    <w:p w14:paraId="3114166B" w14:textId="5F4FCE60" w:rsidR="003E5D1B" w:rsidRPr="008357EA" w:rsidRDefault="00E26782">
      <w:pPr>
        <w:spacing w:after="240" w:line="240" w:lineRule="exact"/>
        <w:rPr>
          <w:rFonts w:eastAsia="Calibri" w:cs="Times New Roman"/>
          <w:lang w:val="es-419"/>
        </w:rPr>
      </w:pPr>
      <w:r>
        <w:rPr>
          <w:lang w:val="es-ES"/>
        </w:rPr>
        <w:t xml:space="preserve">Los </w:t>
      </w:r>
      <w:r w:rsidR="006753E1">
        <w:rPr>
          <w:lang w:val="es-ES"/>
        </w:rPr>
        <w:t>CMN</w:t>
      </w:r>
      <w:r>
        <w:rPr>
          <w:lang w:val="es-ES"/>
        </w:rPr>
        <w:t xml:space="preserve"> pueden contribuir a la actividad de los </w:t>
      </w:r>
      <w:r w:rsidR="00A95DEF">
        <w:rPr>
          <w:lang w:val="es-ES"/>
        </w:rPr>
        <w:t>CMRE</w:t>
      </w:r>
      <w:r>
        <w:rPr>
          <w:lang w:val="es-ES"/>
        </w:rPr>
        <w:t xml:space="preserve"> de las siguientes maneras (enumeración no taxativa): 1) llevando a cabo verificaciones objetivas y proporcionando retroinformación sobre el desempeño de los modelos de área limitada en sus países; 2) haciendo estudios de caso sobre fenómenos concretos y transmitiendo esa información a los </w:t>
      </w:r>
      <w:r w:rsidR="00A95DEF">
        <w:rPr>
          <w:lang w:val="es-ES"/>
        </w:rPr>
        <w:t>CMRE</w:t>
      </w:r>
      <w:r>
        <w:rPr>
          <w:lang w:val="es-ES"/>
        </w:rPr>
        <w:t xml:space="preserve">; 3) trabajando con los </w:t>
      </w:r>
      <w:r w:rsidR="00A95DEF">
        <w:rPr>
          <w:lang w:val="es-ES"/>
        </w:rPr>
        <w:t>CMRE</w:t>
      </w:r>
      <w:r>
        <w:rPr>
          <w:lang w:val="es-ES"/>
        </w:rPr>
        <w:t xml:space="preserve"> en avances concretos de los modelos, sobre la base de los resultados de las verificaciones, y 4) proporcionando otros datos observacionales para que se asimilen en los modelos</w:t>
      </w:r>
      <w:r w:rsidR="0038717F">
        <w:rPr>
          <w:lang w:val="es-ES"/>
        </w:rPr>
        <w:t xml:space="preserve">. </w:t>
      </w:r>
    </w:p>
    <w:p w14:paraId="6AACCDC0" w14:textId="3987A29E" w:rsidR="003E5D1B" w:rsidRPr="008357EA" w:rsidRDefault="00E26782">
      <w:pPr>
        <w:spacing w:after="240" w:line="240" w:lineRule="exact"/>
        <w:rPr>
          <w:rFonts w:eastAsia="Calibri" w:cs="Times New Roman"/>
          <w:lang w:val="es-419"/>
        </w:rPr>
      </w:pPr>
      <w:r>
        <w:rPr>
          <w:lang w:val="es-ES"/>
        </w:rPr>
        <w:t xml:space="preserve">2.3.1.2.2. </w:t>
      </w:r>
      <w:r w:rsidR="00947A8C" w:rsidRPr="00947A8C">
        <w:rPr>
          <w:i/>
          <w:iCs/>
          <w:lang w:val="es-ES"/>
        </w:rPr>
        <w:t>Esferas de aplicación y servicio que los CMRE podrían respaldar</w:t>
      </w:r>
    </w:p>
    <w:p w14:paraId="025E3883" w14:textId="27CB18EE" w:rsidR="003E5D1B" w:rsidRPr="008357EA" w:rsidRDefault="00E26782">
      <w:pPr>
        <w:spacing w:after="240" w:line="240" w:lineRule="exact"/>
        <w:rPr>
          <w:rFonts w:eastAsiaTheme="minorEastAsia" w:cstheme="majorBidi"/>
          <w:color w:val="000000" w:themeColor="text1"/>
          <w:lang w:val="es-419"/>
        </w:rPr>
      </w:pPr>
      <w:r>
        <w:rPr>
          <w:lang w:val="es-ES"/>
        </w:rPr>
        <w:t xml:space="preserve">Los productos que ponen a disposición los </w:t>
      </w:r>
      <w:r w:rsidR="00A95DEF">
        <w:rPr>
          <w:lang w:val="es-ES"/>
        </w:rPr>
        <w:t>CMRE</w:t>
      </w:r>
      <w:r>
        <w:rPr>
          <w:lang w:val="es-ES"/>
        </w:rPr>
        <w:t xml:space="preserve"> que hacen predicciones numéricas del tiempo determinísticas de área limitada respaldan muchos tipos de esferas de aplicación y servicio, pero sobre todo las siguientes: </w:t>
      </w:r>
    </w:p>
    <w:p w14:paraId="73AAB36F" w14:textId="77777777" w:rsidR="003E5D1B" w:rsidRDefault="00E26782">
      <w:pPr>
        <w:numPr>
          <w:ilvl w:val="0"/>
          <w:numId w:val="10"/>
        </w:numPr>
        <w:tabs>
          <w:tab w:val="clear" w:pos="1134"/>
          <w:tab w:val="left" w:pos="960"/>
        </w:tabs>
        <w:spacing w:after="240" w:line="240" w:lineRule="exact"/>
        <w:rPr>
          <w:color w:val="000000" w:themeColor="text1"/>
        </w:rPr>
      </w:pPr>
      <w:r>
        <w:rPr>
          <w:lang w:val="es-ES"/>
        </w:rPr>
        <w:t>Servicios públicos de predicción meteorológica</w:t>
      </w:r>
    </w:p>
    <w:p w14:paraId="76B28BDB" w14:textId="77777777" w:rsidR="003E5D1B" w:rsidRPr="008357EA" w:rsidRDefault="00E26782">
      <w:pPr>
        <w:numPr>
          <w:ilvl w:val="0"/>
          <w:numId w:val="10"/>
        </w:numPr>
        <w:tabs>
          <w:tab w:val="clear" w:pos="1134"/>
          <w:tab w:val="left" w:pos="960"/>
        </w:tabs>
        <w:spacing w:after="240" w:line="240" w:lineRule="exact"/>
        <w:rPr>
          <w:color w:val="000000" w:themeColor="text1"/>
          <w:szCs w:val="22"/>
          <w:lang w:val="es-419"/>
        </w:rPr>
      </w:pPr>
      <w:r>
        <w:rPr>
          <w:lang w:val="es-ES"/>
        </w:rPr>
        <w:t xml:space="preserve">Sistemas de alerta temprana de peligros múltiples </w:t>
      </w:r>
    </w:p>
    <w:p w14:paraId="3AAC3BEE" w14:textId="77777777" w:rsidR="003E5D1B" w:rsidRDefault="00E26782">
      <w:pPr>
        <w:numPr>
          <w:ilvl w:val="0"/>
          <w:numId w:val="10"/>
        </w:numPr>
        <w:tabs>
          <w:tab w:val="clear" w:pos="1134"/>
          <w:tab w:val="left" w:pos="960"/>
        </w:tabs>
        <w:spacing w:after="240" w:line="240" w:lineRule="exact"/>
        <w:rPr>
          <w:color w:val="000000" w:themeColor="text1"/>
        </w:rPr>
      </w:pPr>
      <w:r>
        <w:rPr>
          <w:lang w:val="es-ES"/>
        </w:rPr>
        <w:t>Servicios de meteorología aeronáutica</w:t>
      </w:r>
    </w:p>
    <w:p w14:paraId="7C83FE89" w14:textId="77777777" w:rsidR="003E5D1B" w:rsidRPr="008357EA" w:rsidRDefault="00E26782">
      <w:pPr>
        <w:numPr>
          <w:ilvl w:val="0"/>
          <w:numId w:val="10"/>
        </w:numPr>
        <w:tabs>
          <w:tab w:val="clear" w:pos="1134"/>
          <w:tab w:val="left" w:pos="960"/>
        </w:tabs>
        <w:spacing w:after="240" w:line="240" w:lineRule="exact"/>
        <w:rPr>
          <w:color w:val="000000" w:themeColor="text1"/>
          <w:lang w:val="es-419"/>
        </w:rPr>
      </w:pPr>
      <w:r>
        <w:rPr>
          <w:lang w:val="es-ES"/>
        </w:rPr>
        <w:t>Servicios meteorológicos marinos y aplicaciones oceánicas</w:t>
      </w:r>
    </w:p>
    <w:p w14:paraId="6EC8CF3E" w14:textId="77777777" w:rsidR="003E5D1B" w:rsidRPr="008357EA" w:rsidRDefault="00E26782">
      <w:pPr>
        <w:numPr>
          <w:ilvl w:val="0"/>
          <w:numId w:val="10"/>
        </w:numPr>
        <w:tabs>
          <w:tab w:val="clear" w:pos="1134"/>
          <w:tab w:val="left" w:pos="960"/>
        </w:tabs>
        <w:spacing w:after="240" w:line="240" w:lineRule="exact"/>
        <w:rPr>
          <w:color w:val="000000" w:themeColor="text1"/>
          <w:lang w:val="es-419"/>
        </w:rPr>
      </w:pPr>
      <w:r>
        <w:rPr>
          <w:lang w:val="es-ES"/>
        </w:rPr>
        <w:t>Servicios de recursos hídricos e hidrológicos</w:t>
      </w:r>
    </w:p>
    <w:p w14:paraId="28C378EF" w14:textId="77777777" w:rsidR="003E5D1B" w:rsidRDefault="00E26782">
      <w:pPr>
        <w:numPr>
          <w:ilvl w:val="0"/>
          <w:numId w:val="10"/>
        </w:numPr>
        <w:tabs>
          <w:tab w:val="clear" w:pos="1134"/>
          <w:tab w:val="left" w:pos="960"/>
        </w:tabs>
        <w:spacing w:after="240" w:line="240" w:lineRule="exact"/>
        <w:rPr>
          <w:color w:val="000000" w:themeColor="text1"/>
        </w:rPr>
      </w:pPr>
      <w:r>
        <w:rPr>
          <w:lang w:val="es-ES"/>
        </w:rPr>
        <w:t>Servicios de agrometeorología</w:t>
      </w:r>
    </w:p>
    <w:p w14:paraId="6E032297" w14:textId="55833B2E" w:rsidR="003E5D1B" w:rsidRPr="008357EA" w:rsidRDefault="00E26782">
      <w:pPr>
        <w:spacing w:after="240" w:line="276" w:lineRule="auto"/>
        <w:rPr>
          <w:rFonts w:eastAsia="Calibri" w:cs="Times New Roman"/>
          <w:lang w:val="es-419"/>
        </w:rPr>
      </w:pPr>
      <w:r>
        <w:rPr>
          <w:lang w:val="es-ES"/>
        </w:rPr>
        <w:t xml:space="preserve">2.3.1.2.3. </w:t>
      </w:r>
      <w:r w:rsidR="008B0C15" w:rsidRPr="008B0C15">
        <w:rPr>
          <w:i/>
          <w:iCs/>
          <w:lang w:val="es-ES"/>
        </w:rPr>
        <w:t>Recomendaciones sobre la integración en el proceso nacional de predicción</w:t>
      </w:r>
    </w:p>
    <w:p w14:paraId="0952FCC9" w14:textId="77777777" w:rsidR="003E5D1B" w:rsidRPr="008357EA" w:rsidRDefault="00E26782">
      <w:pPr>
        <w:spacing w:after="240" w:line="240" w:lineRule="exact"/>
        <w:rPr>
          <w:rFonts w:eastAsiaTheme="minorEastAsia" w:cstheme="majorBidi"/>
          <w:b/>
          <w:bCs/>
          <w:color w:val="000000" w:themeColor="text1"/>
          <w:lang w:val="es-419"/>
        </w:rPr>
      </w:pPr>
      <w:r>
        <w:rPr>
          <w:lang w:val="es-ES"/>
        </w:rPr>
        <w:lastRenderedPageBreak/>
        <w:t xml:space="preserve">En el apéndice 2.3.1 de la presente Guía se describe el procedimiento de predicción recomendado para el período de predicción D+0 a D+3. Los productos de predicción numérica del tiempo determinística de área limitada se suelen utilizar en los siguientes pasos de dicho apéndice: </w:t>
      </w:r>
    </w:p>
    <w:p w14:paraId="4FB85D4C" w14:textId="77777777" w:rsidR="003E5D1B" w:rsidRPr="008357EA" w:rsidRDefault="00E26782">
      <w:pPr>
        <w:numPr>
          <w:ilvl w:val="0"/>
          <w:numId w:val="11"/>
        </w:numPr>
        <w:tabs>
          <w:tab w:val="clear" w:pos="1134"/>
          <w:tab w:val="left" w:pos="960"/>
        </w:tabs>
        <w:spacing w:after="240" w:line="240" w:lineRule="exact"/>
        <w:rPr>
          <w:b/>
          <w:bCs/>
          <w:color w:val="000000" w:themeColor="text1"/>
          <w:szCs w:val="22"/>
          <w:lang w:val="es-419"/>
        </w:rPr>
      </w:pPr>
      <w:r>
        <w:rPr>
          <w:lang w:val="es-ES"/>
        </w:rPr>
        <w:t>PASO 2: Análisis - Examinar los mapas de análisis basados en modelos.</w:t>
      </w:r>
    </w:p>
    <w:p w14:paraId="6EE001E0" w14:textId="77777777" w:rsidR="003E5D1B" w:rsidRPr="008357EA" w:rsidRDefault="00E26782">
      <w:pPr>
        <w:numPr>
          <w:ilvl w:val="0"/>
          <w:numId w:val="11"/>
        </w:numPr>
        <w:tabs>
          <w:tab w:val="clear" w:pos="1134"/>
          <w:tab w:val="left" w:pos="960"/>
        </w:tabs>
        <w:spacing w:after="240" w:line="240" w:lineRule="exact"/>
        <w:rPr>
          <w:b/>
          <w:bCs/>
          <w:color w:val="000000" w:themeColor="text1"/>
          <w:szCs w:val="22"/>
          <w:lang w:val="es-419"/>
        </w:rPr>
      </w:pPr>
      <w:r>
        <w:rPr>
          <w:lang w:val="es-ES"/>
        </w:rPr>
        <w:t>PASO 4: Predicción numérica del tiempo determinística - Examinar la evolución sinóptica que aparece en la predicción numérica del tiempo a escala mundial.</w:t>
      </w:r>
    </w:p>
    <w:p w14:paraId="22B4E357" w14:textId="77777777" w:rsidR="003E5D1B" w:rsidRPr="008357EA" w:rsidRDefault="00E26782">
      <w:pPr>
        <w:numPr>
          <w:ilvl w:val="0"/>
          <w:numId w:val="11"/>
        </w:numPr>
        <w:tabs>
          <w:tab w:val="clear" w:pos="1134"/>
          <w:tab w:val="left" w:pos="960"/>
        </w:tabs>
        <w:spacing w:after="240" w:line="240" w:lineRule="exact"/>
        <w:rPr>
          <w:b/>
          <w:bCs/>
          <w:color w:val="000000" w:themeColor="text1"/>
          <w:szCs w:val="22"/>
          <w:lang w:val="es-419"/>
        </w:rPr>
      </w:pPr>
      <w:r>
        <w:rPr>
          <w:lang w:val="es-ES"/>
        </w:rPr>
        <w:t>PASO 5: Predicción numérica del tiempo por conjuntos - Examinar la coincidencia entre las medias de los conjuntos y la predicción numérica del tiempo determinística.</w:t>
      </w:r>
    </w:p>
    <w:p w14:paraId="108248EA" w14:textId="77777777" w:rsidR="003E5D1B" w:rsidRPr="008357EA" w:rsidRDefault="00E26782">
      <w:pPr>
        <w:numPr>
          <w:ilvl w:val="0"/>
          <w:numId w:val="11"/>
        </w:numPr>
        <w:tabs>
          <w:tab w:val="clear" w:pos="1134"/>
          <w:tab w:val="left" w:pos="960"/>
        </w:tabs>
        <w:spacing w:after="240" w:line="240" w:lineRule="exact"/>
        <w:rPr>
          <w:b/>
          <w:bCs/>
          <w:color w:val="000000" w:themeColor="text1"/>
          <w:szCs w:val="22"/>
          <w:lang w:val="es-419"/>
        </w:rPr>
      </w:pPr>
      <w:r>
        <w:rPr>
          <w:lang w:val="es-ES"/>
        </w:rPr>
        <w:t>PASO 6: Debate - Acordar una predicción consensuada.</w:t>
      </w:r>
    </w:p>
    <w:p w14:paraId="7133F758" w14:textId="14911E78" w:rsidR="003E5D1B" w:rsidRPr="008357EA" w:rsidRDefault="00E26782">
      <w:pPr>
        <w:spacing w:after="240" w:line="276" w:lineRule="auto"/>
        <w:rPr>
          <w:rFonts w:eastAsia="Calibri" w:cs="Times New Roman"/>
          <w:lang w:val="es-419"/>
        </w:rPr>
      </w:pPr>
      <w:r>
        <w:rPr>
          <w:lang w:val="es-ES"/>
        </w:rPr>
        <w:t>2.3.1.2.4</w:t>
      </w:r>
      <w:r w:rsidR="0038717F">
        <w:rPr>
          <w:lang w:val="es-ES"/>
        </w:rPr>
        <w:t xml:space="preserve">. </w:t>
      </w:r>
      <w:r w:rsidR="00947A8C" w:rsidRPr="00947A8C">
        <w:rPr>
          <w:i/>
          <w:iCs/>
          <w:lang w:val="es-ES"/>
        </w:rPr>
        <w:t>Mecanismo de retroinformación sobre la utilidad y exactitud de los productos</w:t>
      </w:r>
    </w:p>
    <w:p w14:paraId="71A4EFF7" w14:textId="474D21A3" w:rsidR="003E5D1B" w:rsidRPr="008357EA" w:rsidRDefault="00E26782">
      <w:pPr>
        <w:spacing w:after="240" w:line="240" w:lineRule="exact"/>
        <w:rPr>
          <w:rFonts w:eastAsiaTheme="minorEastAsia" w:cs="Segoe UI"/>
          <w:color w:val="000000" w:themeColor="text1"/>
          <w:lang w:val="es-419"/>
        </w:rPr>
      </w:pPr>
      <w:r>
        <w:rPr>
          <w:lang w:val="es-ES"/>
        </w:rPr>
        <w:t xml:space="preserve">Se anima a los </w:t>
      </w:r>
      <w:r w:rsidR="006753E1">
        <w:rPr>
          <w:lang w:val="es-ES"/>
        </w:rPr>
        <w:t>CMN</w:t>
      </w:r>
      <w:r>
        <w:rPr>
          <w:lang w:val="es-ES"/>
        </w:rPr>
        <w:t xml:space="preserve"> a verificar los productos de predicción numérica del tiempo determinística de área limitada utilizando los procedimientos normalizados de verificación que se definen en el apéndice 2.2.34 del </w:t>
      </w:r>
      <w:r w:rsidR="00B36420" w:rsidRPr="00B36420">
        <w:rPr>
          <w:i/>
          <w:iCs/>
          <w:lang w:val="es-ES"/>
        </w:rPr>
        <w:t>Manual del GDPFS</w:t>
      </w:r>
      <w:r>
        <w:rPr>
          <w:lang w:val="es-ES"/>
        </w:rPr>
        <w:t xml:space="preserve">, y a poner los resultados de la verificación a disposición de los </w:t>
      </w:r>
      <w:r w:rsidR="00A95DEF">
        <w:rPr>
          <w:lang w:val="es-ES"/>
        </w:rPr>
        <w:t>CMRE</w:t>
      </w:r>
      <w:r>
        <w:rPr>
          <w:lang w:val="es-ES"/>
        </w:rPr>
        <w:t xml:space="preserve"> que los produjeron.</w:t>
      </w:r>
    </w:p>
    <w:p w14:paraId="5F96C074" w14:textId="2C4267D4" w:rsidR="003E5D1B" w:rsidRPr="008357EA" w:rsidRDefault="00E26782">
      <w:pPr>
        <w:keepNext/>
        <w:spacing w:before="240" w:after="240" w:line="240" w:lineRule="exact"/>
        <w:ind w:left="1123" w:hanging="1123"/>
        <w:outlineLvl w:val="5"/>
        <w:rPr>
          <w:rFonts w:eastAsiaTheme="minorEastAsia" w:cstheme="majorBidi"/>
          <w:b/>
          <w:bCs/>
          <w:i/>
          <w:iCs/>
          <w:color w:val="000000" w:themeColor="text1"/>
          <w:lang w:val="es-419"/>
        </w:rPr>
      </w:pPr>
      <w:bookmarkStart w:id="115" w:name="_Toc113003314"/>
      <w:bookmarkStart w:id="116" w:name="_Toc113024439"/>
      <w:bookmarkStart w:id="117" w:name="_Toc117501971"/>
      <w:r>
        <w:rPr>
          <w:b/>
          <w:bCs/>
          <w:i/>
          <w:iCs/>
          <w:lang w:val="es-ES"/>
        </w:rPr>
        <w:t>2.3.1.3</w:t>
      </w:r>
      <w:r>
        <w:rPr>
          <w:lang w:val="es-ES"/>
        </w:rPr>
        <w:tab/>
      </w:r>
      <w:r>
        <w:rPr>
          <w:b/>
          <w:bCs/>
          <w:i/>
          <w:iCs/>
          <w:lang w:val="es-ES"/>
        </w:rPr>
        <w:t>Predicción numérica del tiempo por conjuntos a escala mundial</w:t>
      </w:r>
      <w:bookmarkEnd w:id="115"/>
      <w:bookmarkEnd w:id="116"/>
      <w:bookmarkEnd w:id="117"/>
    </w:p>
    <w:p w14:paraId="3562075F" w14:textId="02F233D0" w:rsidR="003E5D1B" w:rsidRPr="008357EA" w:rsidRDefault="00E26782">
      <w:pPr>
        <w:spacing w:after="240" w:line="240" w:lineRule="exact"/>
        <w:rPr>
          <w:rFonts w:eastAsiaTheme="minorEastAsia" w:cstheme="majorBidi"/>
          <w:color w:val="000000" w:themeColor="text1"/>
          <w:lang w:val="es-419"/>
        </w:rPr>
      </w:pPr>
      <w:r>
        <w:rPr>
          <w:lang w:val="es-ES"/>
        </w:rPr>
        <w:t xml:space="preserve">2.3.1.3.1 </w:t>
      </w:r>
      <w:r w:rsidR="00947A8C" w:rsidRPr="00947A8C">
        <w:rPr>
          <w:i/>
          <w:iCs/>
          <w:lang w:val="es-ES"/>
        </w:rPr>
        <w:t>Resumen general de la actividad de los CMRE</w:t>
      </w:r>
      <w:r w:rsidR="00947A8C">
        <w:rPr>
          <w:lang w:val="es-ES"/>
        </w:rPr>
        <w:t xml:space="preserve"> </w:t>
      </w:r>
    </w:p>
    <w:p w14:paraId="0CC18A34" w14:textId="7E15B954" w:rsidR="003E5D1B" w:rsidRPr="008357EA" w:rsidRDefault="00E26782">
      <w:pPr>
        <w:spacing w:after="240" w:line="240" w:lineRule="exact"/>
        <w:rPr>
          <w:rFonts w:eastAsiaTheme="minorEastAsia" w:cstheme="majorBidi"/>
          <w:color w:val="000000" w:themeColor="text1"/>
          <w:lang w:val="es-419"/>
        </w:rPr>
      </w:pPr>
      <w:r>
        <w:rPr>
          <w:lang w:val="es-ES"/>
        </w:rPr>
        <w:t xml:space="preserve">La predicción numérica del tiempo por conjuntos, en que el modelo numérico se ejecuta muchas veces con condiciones iniciales ligeramente diferentes, proporciona una imagen mucho más completa de la predicción que la predicción numérica del tiempo determinística, e incluye cálculos de la incertidumbre y las probabilidades de los posibles fenómenos extremos o de gran impacto. Para que la predicción numérica del tiempo por conjuntos a escala mundial se mantenga operativa se necesita una gran cantidad de recursos. Por lo tanto, esa actividad se estableció en la 69ª reunión del </w:t>
      </w:r>
      <w:r w:rsidR="00F81A61">
        <w:rPr>
          <w:lang w:val="es-ES"/>
        </w:rPr>
        <w:t>Consejo Ejecutivo</w:t>
      </w:r>
      <w:r>
        <w:rPr>
          <w:lang w:val="es-ES"/>
        </w:rPr>
        <w:t xml:space="preserve"> (2017) con el propósito de poner a disposición de todos los Miembros de la OMM los datos y productos de calidad asegurada de la predicción numérica del tiempo por conjuntos a escala mundial.</w:t>
      </w:r>
    </w:p>
    <w:p w14:paraId="77DF9353" w14:textId="09C4799D" w:rsidR="003E5D1B" w:rsidRPr="008357EA" w:rsidRDefault="00E26782">
      <w:pPr>
        <w:spacing w:after="240" w:line="240" w:lineRule="exact"/>
        <w:rPr>
          <w:rFonts w:eastAsiaTheme="minorEastAsia" w:cstheme="majorBidi"/>
          <w:color w:val="000000" w:themeColor="text1"/>
          <w:lang w:val="es-419"/>
        </w:rPr>
      </w:pPr>
      <w:r>
        <w:rPr>
          <w:lang w:val="es-ES"/>
        </w:rPr>
        <w:t xml:space="preserve">Los </w:t>
      </w:r>
      <w:r w:rsidR="00A95DEF">
        <w:rPr>
          <w:lang w:val="es-ES"/>
        </w:rPr>
        <w:t>CMRE</w:t>
      </w:r>
      <w:r>
        <w:rPr>
          <w:lang w:val="es-ES"/>
        </w:rPr>
        <w:t xml:space="preserve"> que hacen predicciones numéricas del tiempo por conjuntos a escala mundial </w:t>
      </w:r>
      <w:r w:rsidR="00CB0838">
        <w:rPr>
          <w:lang w:val="es-ES"/>
        </w:rPr>
        <w:t>se encargan de elaborar</w:t>
      </w:r>
      <w:r>
        <w:rPr>
          <w:lang w:val="es-ES"/>
        </w:rPr>
        <w:t xml:space="preserve"> campos de predicción a escala mundial de estadísticas resumidas por conjuntos correspondientes a parámetros atmosféricos seleccionados, generados a partir de sus propios sistemas de predicción numérica del tiempo por conjuntos a escala mundial, así como </w:t>
      </w:r>
      <w:r w:rsidR="00B4655B">
        <w:rPr>
          <w:lang w:val="es-ES"/>
        </w:rPr>
        <w:t>estadísticas de verificación normalizada y asociada</w:t>
      </w:r>
      <w:r>
        <w:rPr>
          <w:lang w:val="es-ES"/>
        </w:rPr>
        <w:t xml:space="preserve">. Los productos en que se indican la media y la dispersión de los conjuntos proporcionan un resumen de las escalas predecibles de la evolución sinóptica, mientras que la dispersión de los conjuntos indica las zonas de mayor confianza o de incertidumbre significativa. Las probabilidades de los conjuntos proporcionan alertas valiosas sobre el riesgo de que se presenten condiciones meteorológicas extremas o que puedan ser de alto impacto. </w:t>
      </w:r>
    </w:p>
    <w:p w14:paraId="5723DE52" w14:textId="517C947A" w:rsidR="003E5D1B" w:rsidRPr="008357EA" w:rsidRDefault="00E26782">
      <w:pPr>
        <w:spacing w:after="240" w:line="240" w:lineRule="exact"/>
        <w:rPr>
          <w:rFonts w:eastAsiaTheme="minorEastAsia" w:cstheme="majorBidi"/>
          <w:color w:val="000000" w:themeColor="text1"/>
          <w:lang w:val="es-419"/>
        </w:rPr>
      </w:pPr>
      <w:r>
        <w:rPr>
          <w:lang w:val="es-ES"/>
        </w:rPr>
        <w:t xml:space="preserve">i) </w:t>
      </w:r>
      <w:r w:rsidR="00947A8C" w:rsidRPr="00947A8C">
        <w:rPr>
          <w:i/>
          <w:iCs/>
          <w:lang w:val="es-ES"/>
        </w:rPr>
        <w:t>Centros designados y modalidad de trabajo</w:t>
      </w:r>
    </w:p>
    <w:p w14:paraId="1614E3B5" w14:textId="0D34D192" w:rsidR="003E5D1B" w:rsidRPr="008357EA" w:rsidRDefault="00E26782">
      <w:pPr>
        <w:spacing w:after="240" w:line="240" w:lineRule="exact"/>
        <w:rPr>
          <w:rFonts w:eastAsiaTheme="minorEastAsia" w:cstheme="majorBidi"/>
          <w:color w:val="000000" w:themeColor="text1"/>
          <w:lang w:val="es-419"/>
        </w:rPr>
      </w:pPr>
      <w:r>
        <w:rPr>
          <w:lang w:val="es-ES"/>
        </w:rPr>
        <w:t xml:space="preserve">La lista de los </w:t>
      </w:r>
      <w:r w:rsidR="00A95DEF">
        <w:rPr>
          <w:lang w:val="es-ES"/>
        </w:rPr>
        <w:t>CMRE</w:t>
      </w:r>
      <w:r>
        <w:rPr>
          <w:lang w:val="es-ES"/>
        </w:rPr>
        <w:t xml:space="preserve"> designados para la predicción numérica del tiempo por conjuntos a escala mundial figura en la parte III del </w:t>
      </w:r>
      <w:r w:rsidR="00B36420" w:rsidRPr="00B36420">
        <w:rPr>
          <w:i/>
          <w:iCs/>
          <w:lang w:val="es-ES"/>
        </w:rPr>
        <w:t>Manual del GDPFS</w:t>
      </w:r>
      <w:r>
        <w:rPr>
          <w:lang w:val="es-ES"/>
        </w:rPr>
        <w:t xml:space="preserve">. </w:t>
      </w:r>
    </w:p>
    <w:p w14:paraId="3A704A28" w14:textId="76187F0A" w:rsidR="003E5D1B" w:rsidRPr="008357EA" w:rsidRDefault="00E26782">
      <w:pPr>
        <w:spacing w:after="240" w:line="240" w:lineRule="exact"/>
        <w:rPr>
          <w:rFonts w:eastAsiaTheme="minorEastAsia" w:cstheme="majorBidi"/>
          <w:color w:val="000000" w:themeColor="text1"/>
          <w:lang w:val="es-419"/>
        </w:rPr>
      </w:pPr>
      <w:r>
        <w:rPr>
          <w:lang w:val="es-ES"/>
        </w:rPr>
        <w:t xml:space="preserve">Cada uno de los </w:t>
      </w:r>
      <w:r w:rsidR="00A95DEF">
        <w:rPr>
          <w:lang w:val="es-ES"/>
        </w:rPr>
        <w:t>CMRE</w:t>
      </w:r>
      <w:r>
        <w:rPr>
          <w:lang w:val="es-ES"/>
        </w:rPr>
        <w:t xml:space="preserve"> proporciona datos y productos con cobertura mundial. No es necesario que los </w:t>
      </w:r>
      <w:r w:rsidR="00A95DEF">
        <w:rPr>
          <w:lang w:val="es-ES"/>
        </w:rPr>
        <w:t>CMRE</w:t>
      </w:r>
      <w:r>
        <w:rPr>
          <w:lang w:val="es-ES"/>
        </w:rPr>
        <w:t xml:space="preserve"> se coordinen. </w:t>
      </w:r>
      <w:r w:rsidR="001B498A">
        <w:rPr>
          <w:lang w:val="es-ES"/>
        </w:rPr>
        <w:t>Esos centros deben enviar los resultados</w:t>
      </w:r>
      <w:r>
        <w:rPr>
          <w:lang w:val="es-ES"/>
        </w:rPr>
        <w:t xml:space="preserve"> de la verificación al </w:t>
      </w:r>
      <w:r w:rsidR="00703B6F">
        <w:rPr>
          <w:lang w:val="es-ES"/>
        </w:rPr>
        <w:t>Centro Principal que se encarga de la</w:t>
      </w:r>
      <w:r>
        <w:rPr>
          <w:lang w:val="es-ES"/>
        </w:rPr>
        <w:t xml:space="preserve"> verificación de los sistemas de predicción por conjuntos.</w:t>
      </w:r>
    </w:p>
    <w:p w14:paraId="00D9AB3D" w14:textId="4C260A17" w:rsidR="003E5D1B" w:rsidRPr="008357EA" w:rsidRDefault="00E26782">
      <w:pPr>
        <w:spacing w:after="240" w:line="240" w:lineRule="exact"/>
        <w:rPr>
          <w:rFonts w:eastAsiaTheme="minorEastAsia" w:cstheme="majorBidi"/>
          <w:color w:val="000000" w:themeColor="text1"/>
          <w:lang w:val="es-419"/>
        </w:rPr>
      </w:pPr>
      <w:r>
        <w:rPr>
          <w:lang w:val="es-ES"/>
        </w:rPr>
        <w:t xml:space="preserve">ii) </w:t>
      </w:r>
      <w:r w:rsidR="00947A8C" w:rsidRPr="00947A8C">
        <w:rPr>
          <w:i/>
          <w:iCs/>
          <w:lang w:val="es-ES"/>
        </w:rPr>
        <w:t>Qué beneficios pueden obtener los CMN de los CMRE y cómo pueden contribuir con ellos</w:t>
      </w:r>
      <w:r>
        <w:rPr>
          <w:lang w:val="es-ES"/>
        </w:rPr>
        <w:t xml:space="preserve"> </w:t>
      </w:r>
    </w:p>
    <w:p w14:paraId="398AFA4F" w14:textId="4699DDE3" w:rsidR="003E5D1B" w:rsidRPr="008357EA" w:rsidRDefault="00E26782">
      <w:pPr>
        <w:spacing w:after="240" w:line="240" w:lineRule="exact"/>
        <w:rPr>
          <w:rFonts w:eastAsiaTheme="minorEastAsia" w:cstheme="majorBidi"/>
          <w:color w:val="000000" w:themeColor="text1"/>
          <w:lang w:val="es-419"/>
        </w:rPr>
      </w:pPr>
      <w:r>
        <w:rPr>
          <w:lang w:val="es-ES"/>
        </w:rPr>
        <w:lastRenderedPageBreak/>
        <w:t xml:space="preserve">Los </w:t>
      </w:r>
      <w:r w:rsidR="006753E1">
        <w:rPr>
          <w:lang w:val="es-ES"/>
        </w:rPr>
        <w:t>CMN</w:t>
      </w:r>
      <w:r>
        <w:rPr>
          <w:lang w:val="es-ES"/>
        </w:rPr>
        <w:t xml:space="preserve"> pueden utilizar el WIS para acceder a los datos y productos que ponen a disposición los </w:t>
      </w:r>
      <w:r w:rsidR="00A95DEF">
        <w:rPr>
          <w:lang w:val="es-ES"/>
        </w:rPr>
        <w:t>CMRE</w:t>
      </w:r>
      <w:r>
        <w:rPr>
          <w:lang w:val="es-ES"/>
        </w:rPr>
        <w:t xml:space="preserve"> que hacen predicciones numéricas del tiempo por conjuntos a escala mundial. Los metadatos del </w:t>
      </w:r>
      <w:r w:rsidR="001C5219">
        <w:rPr>
          <w:lang w:val="es-ES"/>
        </w:rPr>
        <w:t>WIS</w:t>
      </w:r>
      <w:r>
        <w:rPr>
          <w:lang w:val="es-ES"/>
        </w:rPr>
        <w:t xml:space="preserve"> asociados a cada archivo de datos y productos se obtienen en el </w:t>
      </w:r>
      <w:hyperlink r:id="rId29" w:history="1">
        <w:r w:rsidR="00464890" w:rsidRPr="00464890">
          <w:rPr>
            <w:rStyle w:val="Hyperlink"/>
            <w:lang w:val="es-ES"/>
          </w:rPr>
          <w:t>portal web del GDPFS</w:t>
        </w:r>
      </w:hyperlink>
      <w:r>
        <w:rPr>
          <w:lang w:val="es-ES"/>
        </w:rPr>
        <w:t xml:space="preserve"> seleccionando la predicción numérica del tiempo por conjuntos a escala mundial en la lista de actividades.</w:t>
      </w:r>
    </w:p>
    <w:p w14:paraId="23B1768E" w14:textId="72ED1A0E" w:rsidR="003E5D1B" w:rsidRPr="008357EA" w:rsidRDefault="00E26782">
      <w:pPr>
        <w:spacing w:after="240" w:line="240" w:lineRule="exact"/>
        <w:rPr>
          <w:rFonts w:eastAsiaTheme="minorEastAsia" w:cstheme="majorBidi"/>
          <w:color w:val="000000" w:themeColor="text1"/>
          <w:lang w:val="es-419"/>
        </w:rPr>
      </w:pPr>
      <w:r>
        <w:rPr>
          <w:lang w:val="es-ES"/>
        </w:rPr>
        <w:t xml:space="preserve">Los </w:t>
      </w:r>
      <w:r w:rsidR="006753E1">
        <w:rPr>
          <w:lang w:val="es-ES"/>
        </w:rPr>
        <w:t>CMN</w:t>
      </w:r>
      <w:r>
        <w:rPr>
          <w:lang w:val="es-ES"/>
        </w:rPr>
        <w:t xml:space="preserve"> pueden contribuir a la actividad de los </w:t>
      </w:r>
      <w:r w:rsidR="00A95DEF">
        <w:rPr>
          <w:lang w:val="es-ES"/>
        </w:rPr>
        <w:t>CMRE</w:t>
      </w:r>
      <w:r>
        <w:rPr>
          <w:lang w:val="es-ES"/>
        </w:rPr>
        <w:t xml:space="preserve"> de las siguientes maneras (enumeración no taxativa): 1) llevando a cabo verificaciones objetivas y proporcionando retroinformación sobre el desempeño de los respectivos conjuntos en sus países; 2) haciendo estudios de caso sobre fenómenos concretos y transmitiendo esa información a los </w:t>
      </w:r>
      <w:r w:rsidR="00A95DEF">
        <w:rPr>
          <w:lang w:val="es-ES"/>
        </w:rPr>
        <w:t>CMRE</w:t>
      </w:r>
      <w:r>
        <w:rPr>
          <w:lang w:val="es-ES"/>
        </w:rPr>
        <w:t xml:space="preserve">; 3) trabajando con los </w:t>
      </w:r>
      <w:r w:rsidR="00A95DEF">
        <w:rPr>
          <w:lang w:val="es-ES"/>
        </w:rPr>
        <w:t>CMRE</w:t>
      </w:r>
      <w:r>
        <w:rPr>
          <w:lang w:val="es-ES"/>
        </w:rPr>
        <w:t xml:space="preserve"> en avances concretos de los modelos, sobre la base de los resultados de las verificaciones, y 4) proporcionando otros datos observacionales para que se asimilen en los modelos</w:t>
      </w:r>
      <w:r w:rsidR="0038717F">
        <w:rPr>
          <w:lang w:val="es-ES"/>
        </w:rPr>
        <w:t xml:space="preserve">. </w:t>
      </w:r>
    </w:p>
    <w:p w14:paraId="6A1DD9F5" w14:textId="1057A902" w:rsidR="003E5D1B" w:rsidRPr="008357EA" w:rsidRDefault="00E26782">
      <w:pPr>
        <w:spacing w:after="240" w:line="240" w:lineRule="exact"/>
        <w:rPr>
          <w:rFonts w:eastAsiaTheme="minorEastAsia" w:cstheme="majorBidi"/>
          <w:color w:val="000000" w:themeColor="text1"/>
          <w:lang w:val="es-419"/>
        </w:rPr>
      </w:pPr>
      <w:r>
        <w:rPr>
          <w:lang w:val="es-ES"/>
        </w:rPr>
        <w:t xml:space="preserve">2.3.1.3.2. </w:t>
      </w:r>
      <w:r w:rsidR="00947A8C" w:rsidRPr="00947A8C">
        <w:rPr>
          <w:i/>
          <w:iCs/>
          <w:lang w:val="es-ES"/>
        </w:rPr>
        <w:t>Esferas de aplicación y servicio que los CMRE podrían respaldar</w:t>
      </w:r>
    </w:p>
    <w:p w14:paraId="163F8AEF" w14:textId="03FD78C5" w:rsidR="003E5D1B" w:rsidRPr="008357EA" w:rsidRDefault="00E26782">
      <w:pPr>
        <w:spacing w:after="240" w:line="240" w:lineRule="exact"/>
        <w:rPr>
          <w:rFonts w:eastAsiaTheme="minorEastAsia" w:cstheme="majorBidi"/>
          <w:color w:val="000000" w:themeColor="text1"/>
          <w:lang w:val="es-419"/>
        </w:rPr>
      </w:pPr>
      <w:r>
        <w:rPr>
          <w:lang w:val="es-ES"/>
        </w:rPr>
        <w:t xml:space="preserve">Los productos que ponen a disposición los </w:t>
      </w:r>
      <w:r w:rsidR="00A95DEF">
        <w:rPr>
          <w:lang w:val="es-ES"/>
        </w:rPr>
        <w:t>CMRE</w:t>
      </w:r>
      <w:r>
        <w:rPr>
          <w:lang w:val="es-ES"/>
        </w:rPr>
        <w:t xml:space="preserve"> que hacen predicciones numéricas del tiempo por conjuntos a escala mundial respaldan muchos tipos de esferas de aplicación y servicio, pero sobre todo las siguientes:</w:t>
      </w:r>
    </w:p>
    <w:p w14:paraId="1EC1C120" w14:textId="77777777" w:rsidR="003E5D1B" w:rsidRDefault="00E26782">
      <w:pPr>
        <w:numPr>
          <w:ilvl w:val="0"/>
          <w:numId w:val="13"/>
        </w:numPr>
        <w:tabs>
          <w:tab w:val="clear" w:pos="1134"/>
          <w:tab w:val="left" w:pos="960"/>
        </w:tabs>
        <w:spacing w:after="240" w:line="240" w:lineRule="exact"/>
        <w:rPr>
          <w:color w:val="000000" w:themeColor="text1"/>
        </w:rPr>
      </w:pPr>
      <w:r>
        <w:rPr>
          <w:lang w:val="es-ES"/>
        </w:rPr>
        <w:t>Servicios públicos de predicción meteorológica</w:t>
      </w:r>
    </w:p>
    <w:p w14:paraId="0A1ABB59" w14:textId="77777777" w:rsidR="003E5D1B" w:rsidRPr="008357EA" w:rsidRDefault="00E26782">
      <w:pPr>
        <w:numPr>
          <w:ilvl w:val="0"/>
          <w:numId w:val="13"/>
        </w:numPr>
        <w:tabs>
          <w:tab w:val="clear" w:pos="1134"/>
          <w:tab w:val="left" w:pos="960"/>
        </w:tabs>
        <w:spacing w:after="240" w:line="240" w:lineRule="exact"/>
        <w:rPr>
          <w:color w:val="000000" w:themeColor="text1"/>
          <w:lang w:val="es-419"/>
        </w:rPr>
      </w:pPr>
      <w:r>
        <w:rPr>
          <w:lang w:val="es-ES"/>
        </w:rPr>
        <w:t xml:space="preserve">Sistemas de alerta temprana de peligros múltiples </w:t>
      </w:r>
    </w:p>
    <w:p w14:paraId="3E920D30" w14:textId="77777777" w:rsidR="003E5D1B" w:rsidRPr="008357EA" w:rsidRDefault="00E26782">
      <w:pPr>
        <w:numPr>
          <w:ilvl w:val="0"/>
          <w:numId w:val="13"/>
        </w:numPr>
        <w:tabs>
          <w:tab w:val="clear" w:pos="1134"/>
          <w:tab w:val="left" w:pos="960"/>
        </w:tabs>
        <w:spacing w:after="240" w:line="240" w:lineRule="exact"/>
        <w:rPr>
          <w:color w:val="000000" w:themeColor="text1"/>
          <w:lang w:val="es-419"/>
        </w:rPr>
      </w:pPr>
      <w:r>
        <w:rPr>
          <w:lang w:val="es-ES"/>
        </w:rPr>
        <w:t>Servicios meteorológicos marinos y aplicaciones oceánicas</w:t>
      </w:r>
    </w:p>
    <w:p w14:paraId="0410CBB3" w14:textId="77777777" w:rsidR="003E5D1B" w:rsidRPr="008357EA" w:rsidRDefault="00E26782">
      <w:pPr>
        <w:numPr>
          <w:ilvl w:val="0"/>
          <w:numId w:val="13"/>
        </w:numPr>
        <w:tabs>
          <w:tab w:val="clear" w:pos="1134"/>
          <w:tab w:val="left" w:pos="960"/>
        </w:tabs>
        <w:spacing w:after="240" w:line="240" w:lineRule="exact"/>
        <w:rPr>
          <w:color w:val="000000" w:themeColor="text1"/>
          <w:lang w:val="es-419"/>
        </w:rPr>
      </w:pPr>
      <w:r>
        <w:rPr>
          <w:lang w:val="es-ES"/>
        </w:rPr>
        <w:t>Servicios de recursos hídricos e hidrológicos</w:t>
      </w:r>
    </w:p>
    <w:p w14:paraId="13633CAA" w14:textId="6E5066E8" w:rsidR="003E5D1B" w:rsidRPr="008357EA" w:rsidRDefault="00E26782">
      <w:pPr>
        <w:spacing w:after="240" w:line="240" w:lineRule="exact"/>
        <w:rPr>
          <w:rFonts w:eastAsiaTheme="minorEastAsia" w:cstheme="majorBidi"/>
          <w:color w:val="000000" w:themeColor="text1"/>
          <w:lang w:val="es-419"/>
        </w:rPr>
      </w:pPr>
      <w:r>
        <w:rPr>
          <w:lang w:val="es-ES"/>
        </w:rPr>
        <w:t xml:space="preserve">2.3.1.3.3. </w:t>
      </w:r>
      <w:r w:rsidR="008B0C15" w:rsidRPr="008B0C15">
        <w:rPr>
          <w:i/>
          <w:iCs/>
          <w:lang w:val="es-ES"/>
        </w:rPr>
        <w:t>Recomendaciones sobre la integración en el proceso nacional de predicción</w:t>
      </w:r>
    </w:p>
    <w:p w14:paraId="611B06CB" w14:textId="517E104E" w:rsidR="003E5D1B" w:rsidRPr="008357EA" w:rsidRDefault="00E26782">
      <w:pPr>
        <w:spacing w:after="240" w:line="240" w:lineRule="exact"/>
        <w:rPr>
          <w:rFonts w:eastAsiaTheme="minorEastAsia" w:cstheme="majorBidi"/>
          <w:color w:val="000000" w:themeColor="text1"/>
          <w:lang w:val="es-419"/>
        </w:rPr>
      </w:pPr>
      <w:r>
        <w:rPr>
          <w:lang w:val="es-ES"/>
        </w:rPr>
        <w:t xml:space="preserve">Los productos de predicción numérica del tiempo por conjuntos a escala mundial que los </w:t>
      </w:r>
      <w:r w:rsidR="00A95DEF">
        <w:rPr>
          <w:lang w:val="es-ES"/>
        </w:rPr>
        <w:t>CMRE</w:t>
      </w:r>
      <w:r>
        <w:rPr>
          <w:lang w:val="es-ES"/>
        </w:rPr>
        <w:t xml:space="preserve"> proporcionan consisten en estadísticas resumidas de los conjuntos en que se indican la media y la dispersión de estos en relación con variables sinópticas a gran escala, así como probabilidades relativas a una serie de umbrales significativos de variables como la precipitación y la velocidad del viento. Pueden utilizarse por sí solos para predecir la evolución a escala sinóptica junto con el riesgo de que se presenten condiciones meteorológicas de alto impacto, pero a muchos pronosticadores les resultará útil emplearlos junto con los productos determinísticos que proporcionan los </w:t>
      </w:r>
      <w:r w:rsidR="00A95DEF">
        <w:rPr>
          <w:lang w:val="es-ES"/>
        </w:rPr>
        <w:t>CMRE</w:t>
      </w:r>
      <w:r>
        <w:rPr>
          <w:lang w:val="es-ES"/>
        </w:rPr>
        <w:t xml:space="preserve"> que hacen predicciones numéricas del tiempo determinísticas a escala mundial. Las predicciones determinísticas ofrecen escenarios realistas de campos meteorológicos coherentes que no están incluidos en los campos obligatorios que proporcionan los </w:t>
      </w:r>
      <w:r w:rsidR="00A95DEF">
        <w:rPr>
          <w:lang w:val="es-ES"/>
        </w:rPr>
        <w:t>CMRE</w:t>
      </w:r>
      <w:r>
        <w:rPr>
          <w:lang w:val="es-ES"/>
        </w:rPr>
        <w:t xml:space="preserve"> que hacen predicciones numéricas del tiempo por conjuntos a escala mundial. Sin embargo, siempre hay que recordar que las predicciones determinísticas representan solo una de las posibilidades que podrían concretarse, y los pronosticadores no deben confiar en su exactitud, sobre todo si se desvían considerablemente de la media de los conjuntos o cuando la dispersión de estos sugiere que la incertidumbre es grande. Las probabilidades de los conjuntos suelen proporcionar los indicadores más fiables de la posibilidad de que se presenten condiciones meteorológicas de alto impacto. </w:t>
      </w:r>
    </w:p>
    <w:p w14:paraId="64E08D0F" w14:textId="77777777" w:rsidR="003E5D1B" w:rsidRPr="008357EA" w:rsidRDefault="00E26782">
      <w:pPr>
        <w:spacing w:after="240" w:line="240" w:lineRule="exact"/>
        <w:rPr>
          <w:rFonts w:eastAsiaTheme="minorEastAsia" w:cstheme="majorBidi"/>
          <w:color w:val="000000" w:themeColor="text1"/>
          <w:lang w:val="es-419"/>
        </w:rPr>
      </w:pPr>
      <w:r>
        <w:rPr>
          <w:lang w:val="es-ES"/>
        </w:rPr>
        <w:t xml:space="preserve">En el apéndice 2.3.1 se describe el procedimiento de predicción recomendado para el período de predicción D+0 a D+3. Los productos de predicción numérica del tiempo por conjuntos a escala mundial se suelen utilizar en los siguientes pasos de dicho apéndice: </w:t>
      </w:r>
    </w:p>
    <w:p w14:paraId="15906732" w14:textId="77777777" w:rsidR="003E5D1B" w:rsidRPr="008357EA" w:rsidRDefault="00E26782">
      <w:pPr>
        <w:numPr>
          <w:ilvl w:val="0"/>
          <w:numId w:val="14"/>
        </w:numPr>
        <w:tabs>
          <w:tab w:val="clear" w:pos="1134"/>
          <w:tab w:val="left" w:pos="960"/>
        </w:tabs>
        <w:spacing w:after="240" w:line="240" w:lineRule="exact"/>
        <w:rPr>
          <w:color w:val="000000" w:themeColor="text1"/>
          <w:lang w:val="es-419"/>
        </w:rPr>
      </w:pPr>
      <w:r>
        <w:rPr>
          <w:lang w:val="es-ES"/>
        </w:rPr>
        <w:t>PASO 5: Predicción numérica del tiempo por conjuntos - Examinar la coincidencia entre las medias de los conjuntos y la predicción numérica del tiempo determinística.</w:t>
      </w:r>
    </w:p>
    <w:p w14:paraId="5FD3AE79" w14:textId="120FB7DC" w:rsidR="003E5D1B" w:rsidRPr="008357EA" w:rsidRDefault="00E26782">
      <w:pPr>
        <w:numPr>
          <w:ilvl w:val="0"/>
          <w:numId w:val="14"/>
        </w:numPr>
        <w:tabs>
          <w:tab w:val="clear" w:pos="1134"/>
          <w:tab w:val="left" w:pos="960"/>
        </w:tabs>
        <w:spacing w:after="240" w:line="240" w:lineRule="exact"/>
        <w:rPr>
          <w:color w:val="000000" w:themeColor="text1"/>
          <w:lang w:val="es-419"/>
        </w:rPr>
      </w:pPr>
      <w:r>
        <w:rPr>
          <w:lang w:val="es-ES"/>
        </w:rPr>
        <w:t xml:space="preserve">PASO 6: Debate - Acordar una predicción consensuada y la evaluación del riesgo de que se presenten fenómenos meteorológicos </w:t>
      </w:r>
      <w:r w:rsidR="00BE53B9">
        <w:rPr>
          <w:lang w:val="es-ES"/>
        </w:rPr>
        <w:t>adversos</w:t>
      </w:r>
      <w:r>
        <w:rPr>
          <w:lang w:val="es-ES"/>
        </w:rPr>
        <w:t>.</w:t>
      </w:r>
    </w:p>
    <w:p w14:paraId="56D93278" w14:textId="77777777" w:rsidR="003E5D1B" w:rsidRPr="008357EA" w:rsidRDefault="00E26782">
      <w:pPr>
        <w:spacing w:after="240" w:line="240" w:lineRule="exact"/>
        <w:rPr>
          <w:rFonts w:eastAsiaTheme="minorEastAsia" w:cstheme="majorBidi"/>
          <w:color w:val="000000" w:themeColor="text1"/>
          <w:lang w:val="es-419"/>
        </w:rPr>
      </w:pPr>
      <w:r>
        <w:rPr>
          <w:lang w:val="es-ES"/>
        </w:rPr>
        <w:lastRenderedPageBreak/>
        <w:t xml:space="preserve">En el apéndice 2.3.2 se describe el procedimiento de predicción recomendado para el período de predicción D+4 a D+10. Los productos de predicción numérica del tiempo por conjuntos a escala mundial se suelen utilizar en los siguientes pasos de dicho apéndice: </w:t>
      </w:r>
    </w:p>
    <w:p w14:paraId="65720F9E" w14:textId="77777777" w:rsidR="003E5D1B" w:rsidRPr="008357EA" w:rsidRDefault="00E26782">
      <w:pPr>
        <w:numPr>
          <w:ilvl w:val="0"/>
          <w:numId w:val="15"/>
        </w:numPr>
        <w:tabs>
          <w:tab w:val="clear" w:pos="1134"/>
          <w:tab w:val="left" w:pos="960"/>
        </w:tabs>
        <w:spacing w:after="240" w:line="240" w:lineRule="exact"/>
        <w:rPr>
          <w:color w:val="000000" w:themeColor="text1"/>
          <w:lang w:val="es-419"/>
        </w:rPr>
      </w:pPr>
      <w:r>
        <w:rPr>
          <w:lang w:val="es-ES"/>
        </w:rPr>
        <w:t xml:space="preserve">PASO 3: Predicción numérica del tiempo por conjuntos - Examinar la evolución sinóptica indicada por la media de los conjuntos y las zonas de incertidumbre significativa indicada por la dispersión de estos. </w:t>
      </w:r>
    </w:p>
    <w:p w14:paraId="63CDFB0F" w14:textId="77777777" w:rsidR="003E5D1B" w:rsidRPr="008357EA" w:rsidRDefault="00E26782">
      <w:pPr>
        <w:numPr>
          <w:ilvl w:val="0"/>
          <w:numId w:val="15"/>
        </w:numPr>
        <w:tabs>
          <w:tab w:val="clear" w:pos="1134"/>
          <w:tab w:val="left" w:pos="960"/>
        </w:tabs>
        <w:spacing w:after="240" w:line="240" w:lineRule="exact"/>
        <w:rPr>
          <w:color w:val="000000" w:themeColor="text1"/>
          <w:lang w:val="es-419"/>
        </w:rPr>
      </w:pPr>
      <w:r>
        <w:rPr>
          <w:lang w:val="es-ES"/>
        </w:rPr>
        <w:t xml:space="preserve">PASO 2: Examinar la predicción numérica del tiempo determinística para ver si coincide con la media de los conjuntos y para determinar si aporta algún otro dato útil para el escenario probable. </w:t>
      </w:r>
    </w:p>
    <w:p w14:paraId="70256668" w14:textId="6CCB01F9" w:rsidR="003E5D1B" w:rsidRPr="008357EA" w:rsidRDefault="00E26782">
      <w:pPr>
        <w:numPr>
          <w:ilvl w:val="0"/>
          <w:numId w:val="15"/>
        </w:numPr>
        <w:tabs>
          <w:tab w:val="clear" w:pos="1134"/>
          <w:tab w:val="left" w:pos="960"/>
        </w:tabs>
        <w:spacing w:after="240" w:line="240" w:lineRule="exact"/>
        <w:rPr>
          <w:color w:val="000000" w:themeColor="text1"/>
          <w:lang w:val="es-419"/>
        </w:rPr>
      </w:pPr>
      <w:r>
        <w:rPr>
          <w:lang w:val="es-ES"/>
        </w:rPr>
        <w:t xml:space="preserve">PASO 4: </w:t>
      </w:r>
      <w:r w:rsidR="00C71F64">
        <w:rPr>
          <w:lang w:val="es-ES"/>
        </w:rPr>
        <w:t>¿Condiciones adversas?</w:t>
      </w:r>
      <w:r>
        <w:rPr>
          <w:lang w:val="es-ES"/>
        </w:rPr>
        <w:t xml:space="preserve"> - Examinar las probabilidades de los conjuntos para determinar si hay algún riesgo significativo asociado a </w:t>
      </w:r>
      <w:r w:rsidR="00C71F64">
        <w:rPr>
          <w:lang w:val="es-ES"/>
        </w:rPr>
        <w:t>posibles condiciones meteorológicas anómalas y adversas</w:t>
      </w:r>
      <w:r>
        <w:rPr>
          <w:lang w:val="es-ES"/>
        </w:rPr>
        <w:t>.</w:t>
      </w:r>
    </w:p>
    <w:p w14:paraId="65D69C90" w14:textId="2F7C173F" w:rsidR="003E5D1B" w:rsidRPr="008357EA" w:rsidRDefault="00E26782">
      <w:pPr>
        <w:spacing w:after="240" w:line="240" w:lineRule="exact"/>
        <w:rPr>
          <w:rFonts w:eastAsiaTheme="minorEastAsia" w:cstheme="majorBidi"/>
          <w:color w:val="000000" w:themeColor="text1"/>
          <w:lang w:val="es-419"/>
        </w:rPr>
      </w:pPr>
      <w:r>
        <w:rPr>
          <w:lang w:val="es-ES"/>
        </w:rPr>
        <w:t>2.3.1.3.4</w:t>
      </w:r>
      <w:r w:rsidR="0038717F">
        <w:rPr>
          <w:lang w:val="es-ES"/>
        </w:rPr>
        <w:t xml:space="preserve">. </w:t>
      </w:r>
      <w:r w:rsidR="00947A8C" w:rsidRPr="00947A8C">
        <w:rPr>
          <w:i/>
          <w:iCs/>
          <w:lang w:val="es-ES"/>
        </w:rPr>
        <w:t>Mecanismo de retroinformación sobre la utilidad y exactitud de los productos</w:t>
      </w:r>
    </w:p>
    <w:p w14:paraId="75413905" w14:textId="70446666" w:rsidR="003E5D1B" w:rsidRPr="008357EA" w:rsidRDefault="00E26782">
      <w:pPr>
        <w:spacing w:after="240" w:line="240" w:lineRule="exact"/>
        <w:rPr>
          <w:rFonts w:eastAsiaTheme="minorEastAsia" w:cstheme="majorBidi"/>
          <w:color w:val="000000" w:themeColor="text1"/>
          <w:lang w:val="es-419"/>
        </w:rPr>
      </w:pPr>
      <w:r>
        <w:rPr>
          <w:lang w:val="es-ES"/>
        </w:rPr>
        <w:t xml:space="preserve">Se anima a los </w:t>
      </w:r>
      <w:r w:rsidR="006753E1">
        <w:rPr>
          <w:lang w:val="es-ES"/>
        </w:rPr>
        <w:t>CMN</w:t>
      </w:r>
      <w:r>
        <w:rPr>
          <w:lang w:val="es-ES"/>
        </w:rPr>
        <w:t xml:space="preserve"> a que recopilen información sobre las experiencias con los productos de las predicciones por conjuntos a escala mundial en sus regiones, </w:t>
      </w:r>
      <w:r w:rsidR="00105C0D">
        <w:rPr>
          <w:lang w:val="es-ES"/>
        </w:rPr>
        <w:t>y a que informen sobre su utilidad y exactitud a los CMRE que los elaboraron</w:t>
      </w:r>
      <w:r>
        <w:rPr>
          <w:lang w:val="es-ES"/>
        </w:rPr>
        <w:t>.</w:t>
      </w:r>
    </w:p>
    <w:p w14:paraId="6235668E" w14:textId="474AA6E8" w:rsidR="003E5D1B" w:rsidRPr="008357EA" w:rsidRDefault="00E26782">
      <w:pPr>
        <w:keepNext/>
        <w:spacing w:before="240" w:after="240" w:line="240" w:lineRule="exact"/>
        <w:ind w:left="1123" w:hanging="1123"/>
        <w:outlineLvl w:val="5"/>
        <w:rPr>
          <w:rFonts w:eastAsiaTheme="minorEastAsia" w:cstheme="majorBidi"/>
          <w:b/>
          <w:bCs/>
          <w:i/>
          <w:iCs/>
          <w:color w:val="000000" w:themeColor="text1"/>
          <w:lang w:val="es-419"/>
        </w:rPr>
      </w:pPr>
      <w:bookmarkStart w:id="118" w:name="_Toc113003315"/>
      <w:bookmarkStart w:id="119" w:name="_Toc113024440"/>
      <w:bookmarkStart w:id="120" w:name="_Toc117501972"/>
      <w:r>
        <w:rPr>
          <w:b/>
          <w:bCs/>
          <w:i/>
          <w:iCs/>
          <w:lang w:val="es-ES"/>
        </w:rPr>
        <w:t>2.3.1.4</w:t>
      </w:r>
      <w:r>
        <w:rPr>
          <w:lang w:val="es-ES"/>
        </w:rPr>
        <w:tab/>
      </w:r>
      <w:r>
        <w:rPr>
          <w:b/>
          <w:bCs/>
          <w:i/>
          <w:iCs/>
          <w:lang w:val="es-ES"/>
        </w:rPr>
        <w:t>Predicción numérica del tiempo por conjuntos de área limitada</w:t>
      </w:r>
      <w:bookmarkEnd w:id="118"/>
      <w:bookmarkEnd w:id="119"/>
      <w:bookmarkEnd w:id="120"/>
    </w:p>
    <w:p w14:paraId="35AC4B99" w14:textId="2A061E04" w:rsidR="003E5D1B" w:rsidRPr="008357EA" w:rsidRDefault="00E26782">
      <w:pPr>
        <w:spacing w:after="240" w:line="240" w:lineRule="exact"/>
        <w:rPr>
          <w:rFonts w:eastAsiaTheme="minorEastAsia" w:cstheme="majorBidi"/>
          <w:color w:val="000000" w:themeColor="text1"/>
          <w:lang w:val="es-419"/>
        </w:rPr>
      </w:pPr>
      <w:r>
        <w:rPr>
          <w:lang w:val="es-ES"/>
        </w:rPr>
        <w:t xml:space="preserve">2.3.1.4.1 </w:t>
      </w:r>
      <w:r w:rsidR="00947A8C" w:rsidRPr="00947A8C">
        <w:rPr>
          <w:i/>
          <w:iCs/>
          <w:lang w:val="es-ES"/>
        </w:rPr>
        <w:t>Resumen general de la actividad de los CMRE</w:t>
      </w:r>
      <w:r w:rsidR="00947A8C">
        <w:rPr>
          <w:lang w:val="es-ES"/>
        </w:rPr>
        <w:t xml:space="preserve"> </w:t>
      </w:r>
    </w:p>
    <w:p w14:paraId="2DDD09A5" w14:textId="577D3A6A" w:rsidR="003E5D1B" w:rsidRPr="008357EA" w:rsidRDefault="00E26782">
      <w:pPr>
        <w:spacing w:after="240" w:line="240" w:lineRule="exact"/>
        <w:rPr>
          <w:rFonts w:eastAsiaTheme="minorEastAsia" w:cstheme="majorBidi"/>
          <w:color w:val="000000" w:themeColor="text1"/>
          <w:lang w:val="es-419"/>
        </w:rPr>
      </w:pPr>
      <w:r>
        <w:rPr>
          <w:lang w:val="es-ES"/>
        </w:rPr>
        <w:t>Al igual que ha ocurrido con la predicción numérica del tiempo por conjuntos a escala mundial, la predicción numérica del tiempo por conjuntos de área limitada ha evolucionado rápidamente y se ha aplicado en diversas actividades. La predicción numérica del tiempo por conjuntos de área limitada, que se ejecuta con una resolución horizontal considerablemente mayor que en el caso de los conjuntos a escala mundial, normalmente con un tamaño de retícula que va de 1 a 4</w:t>
      </w:r>
      <w:r w:rsidR="00B11F3C">
        <w:rPr>
          <w:lang w:val="es-ES"/>
        </w:rPr>
        <w:t> km</w:t>
      </w:r>
      <w:r>
        <w:rPr>
          <w:lang w:val="es-ES"/>
        </w:rPr>
        <w:t xml:space="preserve">, puede proporcionar una resolución mucho mejor de los riesgos de que se presenten condiciones meteorológicas de alto impacto, en particular de los asociados a las condiciones meteorológicas resultantes de la actividad convectiva. </w:t>
      </w:r>
    </w:p>
    <w:p w14:paraId="13C7C959" w14:textId="4CD180D1" w:rsidR="003E5D1B" w:rsidRPr="008357EA" w:rsidRDefault="00E26782">
      <w:pPr>
        <w:spacing w:after="240" w:line="240" w:lineRule="exact"/>
        <w:rPr>
          <w:rFonts w:eastAsiaTheme="minorEastAsia" w:cstheme="majorBidi"/>
          <w:color w:val="000000" w:themeColor="text1"/>
          <w:lang w:val="es-419"/>
        </w:rPr>
      </w:pPr>
      <w:r>
        <w:rPr>
          <w:lang w:val="es-ES"/>
        </w:rPr>
        <w:t xml:space="preserve">Para que la predicción numérica del tiempo por conjuntos de área limitada se mantenga operativa se necesita una cantidad muy grande de recursos. Por lo tanto, esa actividad se estableció en la 69ª reunión del </w:t>
      </w:r>
      <w:r w:rsidR="00F81A61">
        <w:rPr>
          <w:lang w:val="es-ES"/>
        </w:rPr>
        <w:t>Consejo Ejecutivo</w:t>
      </w:r>
      <w:r>
        <w:rPr>
          <w:lang w:val="es-ES"/>
        </w:rPr>
        <w:t xml:space="preserve"> (2017) con el propósito de poner a disposición de todos los Miembros de la OMM los datos y productos de calidad asegurada de la predicción numérica del tiempo por conjuntos a escala mundial. Debido al costo elevado que supone hacer predicciones numéricas del tiempo por conjuntos de área limitada, la mayoría de los </w:t>
      </w:r>
      <w:r w:rsidR="00A95DEF">
        <w:rPr>
          <w:lang w:val="es-ES"/>
        </w:rPr>
        <w:t>CMRE</w:t>
      </w:r>
      <w:r>
        <w:rPr>
          <w:lang w:val="es-ES"/>
        </w:rPr>
        <w:t xml:space="preserve"> solo respaldan a un pequeño número de países vecinos y hay muchas partes del planeta que no están cubiertas. Cuando ese es el caso, de todos modos se puede obtener información valiosa de los </w:t>
      </w:r>
      <w:r w:rsidR="00A95DEF">
        <w:rPr>
          <w:lang w:val="es-ES"/>
        </w:rPr>
        <w:t>CMRE</w:t>
      </w:r>
      <w:r>
        <w:rPr>
          <w:lang w:val="es-ES"/>
        </w:rPr>
        <w:t xml:space="preserve"> que hacen predicciones numéricas del tiempo por conjuntos a escala mundial.</w:t>
      </w:r>
    </w:p>
    <w:p w14:paraId="72841CF7" w14:textId="566992AD" w:rsidR="003E5D1B" w:rsidRPr="008357EA" w:rsidRDefault="00E26782">
      <w:pPr>
        <w:spacing w:after="240" w:line="240" w:lineRule="exact"/>
        <w:rPr>
          <w:rFonts w:eastAsiaTheme="minorEastAsia" w:cstheme="majorBidi"/>
          <w:color w:val="000000" w:themeColor="text1"/>
          <w:lang w:val="es-419"/>
        </w:rPr>
      </w:pPr>
      <w:r>
        <w:rPr>
          <w:lang w:val="es-ES"/>
        </w:rPr>
        <w:t xml:space="preserve">Los </w:t>
      </w:r>
      <w:r w:rsidR="00A95DEF">
        <w:rPr>
          <w:lang w:val="es-ES"/>
        </w:rPr>
        <w:t>CMRE</w:t>
      </w:r>
      <w:r>
        <w:rPr>
          <w:lang w:val="es-ES"/>
        </w:rPr>
        <w:t xml:space="preserve"> que hacen predicciones numéricas del tiempo por conjuntos de área limitada </w:t>
      </w:r>
      <w:r w:rsidR="00CB0838">
        <w:rPr>
          <w:lang w:val="es-ES"/>
        </w:rPr>
        <w:t>se encargan de elaborar</w:t>
      </w:r>
      <w:r>
        <w:rPr>
          <w:lang w:val="es-ES"/>
        </w:rPr>
        <w:t xml:space="preserve"> campos de predicción de estadísticas resumidas por conjuntos correspondientes a parámetros atmosféricos seleccionados del área que cubre su región, así como </w:t>
      </w:r>
      <w:r w:rsidR="00B4655B">
        <w:rPr>
          <w:lang w:val="es-ES"/>
        </w:rPr>
        <w:t>estadísticas de verificación normalizada y asociada</w:t>
      </w:r>
      <w:r>
        <w:rPr>
          <w:lang w:val="es-ES"/>
        </w:rPr>
        <w:t xml:space="preserve">. Los productos en que se indican la media y la dispersión de los conjuntos proporcionan un resumen de las escalas predecibles de la evolución sinóptica, mientras que la dispersión de los conjuntos indica las zonas de mayor confianza o de incertidumbre significativa. Las probabilidades de los conjuntos proporcionan alertas valiosas sobre el riesgo de que se presenten condiciones meteorológicas extremas o que puedan ser de alto impacto. </w:t>
      </w:r>
    </w:p>
    <w:p w14:paraId="5158346E" w14:textId="75AD771D" w:rsidR="003E5D1B" w:rsidRPr="008357EA" w:rsidRDefault="00E26782">
      <w:pPr>
        <w:spacing w:after="240" w:line="240" w:lineRule="exact"/>
        <w:rPr>
          <w:rFonts w:eastAsiaTheme="minorEastAsia" w:cstheme="majorBidi"/>
          <w:color w:val="000000" w:themeColor="text1"/>
          <w:lang w:val="es-419"/>
        </w:rPr>
      </w:pPr>
      <w:r>
        <w:rPr>
          <w:lang w:val="es-ES"/>
        </w:rPr>
        <w:t xml:space="preserve">i) </w:t>
      </w:r>
      <w:r w:rsidR="00947A8C" w:rsidRPr="00947A8C">
        <w:rPr>
          <w:i/>
          <w:iCs/>
          <w:lang w:val="es-ES"/>
        </w:rPr>
        <w:t>Centros designados y modalidad de trabajo</w:t>
      </w:r>
    </w:p>
    <w:p w14:paraId="3FE02DD0" w14:textId="76BC8DF5" w:rsidR="003E5D1B" w:rsidRPr="008357EA" w:rsidRDefault="00E26782">
      <w:pPr>
        <w:spacing w:after="240" w:line="240" w:lineRule="exact"/>
        <w:rPr>
          <w:rFonts w:eastAsiaTheme="minorEastAsia" w:cstheme="majorBidi"/>
          <w:color w:val="000000" w:themeColor="text1"/>
          <w:lang w:val="es-419"/>
        </w:rPr>
      </w:pPr>
      <w:r>
        <w:rPr>
          <w:lang w:val="es-ES"/>
        </w:rPr>
        <w:lastRenderedPageBreak/>
        <w:t xml:space="preserve">La lista de los </w:t>
      </w:r>
      <w:r w:rsidR="00A95DEF">
        <w:rPr>
          <w:lang w:val="es-ES"/>
        </w:rPr>
        <w:t>CMRE</w:t>
      </w:r>
      <w:r>
        <w:rPr>
          <w:lang w:val="es-ES"/>
        </w:rPr>
        <w:t xml:space="preserve"> designados para la predicción numérica del tiempo por conjuntos de área limitada figura en la parte III del </w:t>
      </w:r>
      <w:r w:rsidR="002D6434" w:rsidRPr="002D6434">
        <w:rPr>
          <w:i/>
          <w:iCs/>
          <w:lang w:val="es-ES"/>
        </w:rPr>
        <w:t>Manual del Sistema Mundial de Proceso de Datos y de Predicción</w:t>
      </w:r>
      <w:r w:rsidR="008357EA">
        <w:rPr>
          <w:lang w:val="es-ES"/>
        </w:rPr>
        <w:t xml:space="preserve"> (</w:t>
      </w:r>
      <w:r w:rsidR="00EB4587">
        <w:rPr>
          <w:lang w:val="es-ES"/>
        </w:rPr>
        <w:t>OMM</w:t>
      </w:r>
      <w:r w:rsidR="00EB4587">
        <w:rPr>
          <w:lang w:val="es-ES"/>
        </w:rPr>
        <w:noBreakHyphen/>
        <w:t>Nº</w:t>
      </w:r>
      <w:r w:rsidR="0093047C">
        <w:rPr>
          <w:lang w:val="es-ES"/>
        </w:rPr>
        <w:t> </w:t>
      </w:r>
      <w:r w:rsidR="008357EA">
        <w:rPr>
          <w:lang w:val="es-ES"/>
        </w:rPr>
        <w:t>485).</w:t>
      </w:r>
      <w:r>
        <w:rPr>
          <w:lang w:val="es-ES"/>
        </w:rPr>
        <w:t xml:space="preserve"> </w:t>
      </w:r>
    </w:p>
    <w:p w14:paraId="164A53D7" w14:textId="3FE3EBAB" w:rsidR="003E5D1B" w:rsidRPr="008357EA" w:rsidRDefault="00E26782">
      <w:pPr>
        <w:spacing w:after="240" w:line="240" w:lineRule="exact"/>
        <w:rPr>
          <w:rFonts w:eastAsiaTheme="minorEastAsia" w:cstheme="majorBidi"/>
          <w:color w:val="000000" w:themeColor="text1"/>
          <w:lang w:val="es-419"/>
        </w:rPr>
      </w:pPr>
      <w:r>
        <w:rPr>
          <w:lang w:val="es-ES"/>
        </w:rPr>
        <w:t xml:space="preserve">Cada uno de los </w:t>
      </w:r>
      <w:r w:rsidR="00A95DEF">
        <w:rPr>
          <w:lang w:val="es-ES"/>
        </w:rPr>
        <w:t>CMRE</w:t>
      </w:r>
      <w:r>
        <w:rPr>
          <w:lang w:val="es-ES"/>
        </w:rPr>
        <w:t xml:space="preserve"> proporciona datos y productos con cobertura regional correspondiente a la zona que abarca su modelo. No es necesario que los </w:t>
      </w:r>
      <w:r w:rsidR="00A95DEF">
        <w:rPr>
          <w:lang w:val="es-ES"/>
        </w:rPr>
        <w:t>CMRE</w:t>
      </w:r>
      <w:r>
        <w:rPr>
          <w:lang w:val="es-ES"/>
        </w:rPr>
        <w:t xml:space="preserve"> se coordinen. Los </w:t>
      </w:r>
      <w:r w:rsidR="00A95DEF">
        <w:rPr>
          <w:lang w:val="es-ES"/>
        </w:rPr>
        <w:t>CMRE</w:t>
      </w:r>
      <w:r>
        <w:rPr>
          <w:lang w:val="es-ES"/>
        </w:rPr>
        <w:t xml:space="preserve"> deben publicar los resultados de las verificaciones en un sitio web.</w:t>
      </w:r>
    </w:p>
    <w:p w14:paraId="3C7F1953" w14:textId="2F0F36C7" w:rsidR="003E5D1B" w:rsidRPr="008357EA" w:rsidRDefault="00E26782">
      <w:pPr>
        <w:spacing w:after="240" w:line="240" w:lineRule="exact"/>
        <w:rPr>
          <w:rFonts w:eastAsiaTheme="minorEastAsia" w:cstheme="majorBidi"/>
          <w:color w:val="000000" w:themeColor="text1"/>
          <w:lang w:val="es-419"/>
        </w:rPr>
      </w:pPr>
      <w:r>
        <w:rPr>
          <w:lang w:val="es-ES"/>
        </w:rPr>
        <w:t xml:space="preserve">ii) </w:t>
      </w:r>
      <w:r w:rsidR="00947A8C" w:rsidRPr="00947A8C">
        <w:rPr>
          <w:i/>
          <w:iCs/>
          <w:lang w:val="es-ES"/>
        </w:rPr>
        <w:t>Qué beneficios pueden obtener los CMN de los CMRE y cómo pueden contribuir con ellos</w:t>
      </w:r>
      <w:r>
        <w:rPr>
          <w:lang w:val="es-ES"/>
        </w:rPr>
        <w:t xml:space="preserve"> </w:t>
      </w:r>
    </w:p>
    <w:p w14:paraId="72FB6429" w14:textId="5AD10415" w:rsidR="003E5D1B" w:rsidRPr="008357EA" w:rsidRDefault="00E26782">
      <w:pPr>
        <w:spacing w:after="240" w:line="240" w:lineRule="exact"/>
        <w:rPr>
          <w:rFonts w:eastAsiaTheme="minorEastAsia" w:cstheme="majorBidi"/>
          <w:color w:val="000000" w:themeColor="text1"/>
          <w:lang w:val="es-419"/>
        </w:rPr>
      </w:pPr>
      <w:r>
        <w:rPr>
          <w:lang w:val="es-ES"/>
        </w:rPr>
        <w:t xml:space="preserve">Los </w:t>
      </w:r>
      <w:r w:rsidR="006753E1">
        <w:rPr>
          <w:lang w:val="es-ES"/>
        </w:rPr>
        <w:t>CMN</w:t>
      </w:r>
      <w:r>
        <w:rPr>
          <w:lang w:val="es-ES"/>
        </w:rPr>
        <w:t xml:space="preserve"> pueden utilizar el WIS para acceder a los datos y productos que ponen a disposición los </w:t>
      </w:r>
      <w:r w:rsidR="00A95DEF">
        <w:rPr>
          <w:lang w:val="es-ES"/>
        </w:rPr>
        <w:t>CMRE</w:t>
      </w:r>
      <w:r>
        <w:rPr>
          <w:lang w:val="es-ES"/>
        </w:rPr>
        <w:t xml:space="preserve"> que hacen predicciones numéricas del tiempo por conjuntos de área limitada. Los metadatos del </w:t>
      </w:r>
      <w:r w:rsidR="001C5219">
        <w:rPr>
          <w:lang w:val="es-ES"/>
        </w:rPr>
        <w:t>WIS</w:t>
      </w:r>
      <w:r>
        <w:rPr>
          <w:lang w:val="es-ES"/>
        </w:rPr>
        <w:t xml:space="preserve"> asociados a cada archivo de datos y productos se obtienen en el </w:t>
      </w:r>
      <w:hyperlink r:id="rId30" w:history="1">
        <w:r w:rsidR="00464890" w:rsidRPr="00464890">
          <w:rPr>
            <w:rStyle w:val="Hyperlink"/>
            <w:lang w:val="es-ES"/>
          </w:rPr>
          <w:t>portal web del GDPFS</w:t>
        </w:r>
      </w:hyperlink>
      <w:r>
        <w:rPr>
          <w:lang w:val="es-ES"/>
        </w:rPr>
        <w:t xml:space="preserve"> seleccionando la predicción numérica del tiempo por conjuntos de área limitada en la lista de actividades.</w:t>
      </w:r>
    </w:p>
    <w:p w14:paraId="313E5F06" w14:textId="5780B76D" w:rsidR="003E5D1B" w:rsidRPr="008357EA" w:rsidRDefault="00E26782">
      <w:pPr>
        <w:spacing w:after="240" w:line="240" w:lineRule="exact"/>
        <w:rPr>
          <w:rFonts w:eastAsiaTheme="minorEastAsia" w:cstheme="majorBidi"/>
          <w:color w:val="000000" w:themeColor="text1"/>
          <w:lang w:val="es-419"/>
        </w:rPr>
      </w:pPr>
      <w:r>
        <w:rPr>
          <w:lang w:val="es-ES"/>
        </w:rPr>
        <w:t xml:space="preserve">Los </w:t>
      </w:r>
      <w:r w:rsidR="006753E1">
        <w:rPr>
          <w:lang w:val="es-ES"/>
        </w:rPr>
        <w:t>CMN</w:t>
      </w:r>
      <w:r>
        <w:rPr>
          <w:lang w:val="es-ES"/>
        </w:rPr>
        <w:t xml:space="preserve"> pueden contribuir a la actividad de los </w:t>
      </w:r>
      <w:r w:rsidR="00A95DEF">
        <w:rPr>
          <w:lang w:val="es-ES"/>
        </w:rPr>
        <w:t>CMRE</w:t>
      </w:r>
      <w:r>
        <w:rPr>
          <w:lang w:val="es-ES"/>
        </w:rPr>
        <w:t xml:space="preserve"> de las siguientes maneras (enumeración no taxativa): 1) llevando a cabo verificaciones objetivas y proporcionando retroinformación sobre el desempeño de los respectivos conjuntos en sus países; 2) haciendo estudios de caso sobre fenómenos concretos y transmitiendo esa información a los </w:t>
      </w:r>
      <w:r w:rsidR="00A95DEF">
        <w:rPr>
          <w:lang w:val="es-ES"/>
        </w:rPr>
        <w:t>CMRE</w:t>
      </w:r>
      <w:r>
        <w:rPr>
          <w:lang w:val="es-ES"/>
        </w:rPr>
        <w:t xml:space="preserve">; 3) trabajando con los </w:t>
      </w:r>
      <w:r w:rsidR="00A95DEF">
        <w:rPr>
          <w:lang w:val="es-ES"/>
        </w:rPr>
        <w:t>CMRE</w:t>
      </w:r>
      <w:r>
        <w:rPr>
          <w:lang w:val="es-ES"/>
        </w:rPr>
        <w:t xml:space="preserve"> en avances concretos de los modelos, sobre la base de los resultados de las verificaciones, y 4) proporcionando otros datos observacionales para que se asimilen en los modelos</w:t>
      </w:r>
      <w:r w:rsidR="0038717F">
        <w:rPr>
          <w:lang w:val="es-ES"/>
        </w:rPr>
        <w:t xml:space="preserve">. </w:t>
      </w:r>
    </w:p>
    <w:p w14:paraId="40D032D6" w14:textId="7F639933" w:rsidR="003E5D1B" w:rsidRPr="008357EA" w:rsidRDefault="00E26782">
      <w:pPr>
        <w:spacing w:after="240" w:line="240" w:lineRule="exact"/>
        <w:rPr>
          <w:rFonts w:eastAsiaTheme="minorEastAsia" w:cstheme="majorBidi"/>
          <w:color w:val="000000" w:themeColor="text1"/>
          <w:lang w:val="es-419"/>
        </w:rPr>
      </w:pPr>
      <w:r>
        <w:rPr>
          <w:lang w:val="es-ES"/>
        </w:rPr>
        <w:t xml:space="preserve">2.3.1.4.2. </w:t>
      </w:r>
      <w:r w:rsidR="00947A8C" w:rsidRPr="00947A8C">
        <w:rPr>
          <w:i/>
          <w:iCs/>
          <w:lang w:val="es-ES"/>
        </w:rPr>
        <w:t>Esferas de aplicación y servicio que los CMRE podrían respaldar</w:t>
      </w:r>
    </w:p>
    <w:p w14:paraId="0E3B046D" w14:textId="341A7A89" w:rsidR="003E5D1B" w:rsidRPr="008357EA" w:rsidRDefault="00E26782">
      <w:pPr>
        <w:spacing w:after="240" w:line="240" w:lineRule="exact"/>
        <w:rPr>
          <w:rFonts w:eastAsiaTheme="minorEastAsia" w:cstheme="majorBidi"/>
          <w:color w:val="000000" w:themeColor="text1"/>
          <w:lang w:val="es-419"/>
        </w:rPr>
      </w:pPr>
      <w:r>
        <w:rPr>
          <w:lang w:val="es-ES"/>
        </w:rPr>
        <w:t xml:space="preserve">Los productos que ponen a disposición los </w:t>
      </w:r>
      <w:r w:rsidR="00A95DEF">
        <w:rPr>
          <w:lang w:val="es-ES"/>
        </w:rPr>
        <w:t>CMRE</w:t>
      </w:r>
      <w:r>
        <w:rPr>
          <w:lang w:val="es-ES"/>
        </w:rPr>
        <w:t xml:space="preserve"> que hacen predicciones numéricas del tiempo por conjuntos de área limitada respaldan muchos tipos de esferas de aplicación y servicio, pero sobre todo las siguientes:</w:t>
      </w:r>
    </w:p>
    <w:p w14:paraId="0925846C" w14:textId="77777777" w:rsidR="003E5D1B" w:rsidRDefault="00E26782">
      <w:pPr>
        <w:numPr>
          <w:ilvl w:val="0"/>
          <w:numId w:val="16"/>
        </w:numPr>
        <w:tabs>
          <w:tab w:val="clear" w:pos="1134"/>
          <w:tab w:val="left" w:pos="960"/>
        </w:tabs>
        <w:spacing w:after="240" w:line="240" w:lineRule="exact"/>
        <w:rPr>
          <w:color w:val="000000" w:themeColor="text1"/>
        </w:rPr>
      </w:pPr>
      <w:r>
        <w:rPr>
          <w:lang w:val="es-ES"/>
        </w:rPr>
        <w:t>Servicios públicos de predicción meteorológica</w:t>
      </w:r>
    </w:p>
    <w:p w14:paraId="7F55C6E6" w14:textId="77777777" w:rsidR="003E5D1B" w:rsidRPr="008357EA" w:rsidRDefault="00E26782">
      <w:pPr>
        <w:numPr>
          <w:ilvl w:val="0"/>
          <w:numId w:val="16"/>
        </w:numPr>
        <w:tabs>
          <w:tab w:val="clear" w:pos="1134"/>
          <w:tab w:val="left" w:pos="960"/>
        </w:tabs>
        <w:spacing w:after="240" w:line="240" w:lineRule="exact"/>
        <w:rPr>
          <w:color w:val="000000" w:themeColor="text1"/>
          <w:lang w:val="es-419"/>
        </w:rPr>
      </w:pPr>
      <w:r>
        <w:rPr>
          <w:lang w:val="es-ES"/>
        </w:rPr>
        <w:t xml:space="preserve">Sistemas de alerta temprana de peligros múltiples </w:t>
      </w:r>
    </w:p>
    <w:p w14:paraId="18BC5114" w14:textId="77777777" w:rsidR="003E5D1B" w:rsidRDefault="00E26782">
      <w:pPr>
        <w:numPr>
          <w:ilvl w:val="0"/>
          <w:numId w:val="16"/>
        </w:numPr>
        <w:tabs>
          <w:tab w:val="clear" w:pos="1134"/>
          <w:tab w:val="left" w:pos="960"/>
        </w:tabs>
        <w:spacing w:after="240" w:line="240" w:lineRule="exact"/>
        <w:rPr>
          <w:color w:val="000000" w:themeColor="text1"/>
        </w:rPr>
      </w:pPr>
      <w:r>
        <w:rPr>
          <w:lang w:val="es-ES"/>
        </w:rPr>
        <w:t>Servicios de meteorología aeronáutica</w:t>
      </w:r>
    </w:p>
    <w:p w14:paraId="0B7F38EC" w14:textId="77777777" w:rsidR="003E5D1B" w:rsidRPr="008357EA" w:rsidRDefault="00E26782">
      <w:pPr>
        <w:numPr>
          <w:ilvl w:val="0"/>
          <w:numId w:val="16"/>
        </w:numPr>
        <w:tabs>
          <w:tab w:val="clear" w:pos="1134"/>
          <w:tab w:val="left" w:pos="960"/>
        </w:tabs>
        <w:spacing w:after="240" w:line="240" w:lineRule="exact"/>
        <w:rPr>
          <w:color w:val="000000" w:themeColor="text1"/>
          <w:lang w:val="es-419"/>
        </w:rPr>
      </w:pPr>
      <w:r>
        <w:rPr>
          <w:lang w:val="es-ES"/>
        </w:rPr>
        <w:t>Servicios meteorológicos marinos y aplicaciones oceánicas</w:t>
      </w:r>
    </w:p>
    <w:p w14:paraId="2AB7623E" w14:textId="77777777" w:rsidR="003E5D1B" w:rsidRPr="008357EA" w:rsidRDefault="00E26782">
      <w:pPr>
        <w:numPr>
          <w:ilvl w:val="0"/>
          <w:numId w:val="16"/>
        </w:numPr>
        <w:tabs>
          <w:tab w:val="clear" w:pos="1134"/>
          <w:tab w:val="left" w:pos="960"/>
        </w:tabs>
        <w:spacing w:after="240" w:line="240" w:lineRule="exact"/>
        <w:rPr>
          <w:color w:val="000000" w:themeColor="text1"/>
          <w:lang w:val="es-419"/>
        </w:rPr>
      </w:pPr>
      <w:r>
        <w:rPr>
          <w:lang w:val="es-ES"/>
        </w:rPr>
        <w:t>Servicios de recursos hídricos e hidrológicos</w:t>
      </w:r>
    </w:p>
    <w:p w14:paraId="5840BA51" w14:textId="20C6E16C" w:rsidR="003E5D1B" w:rsidRPr="008357EA" w:rsidRDefault="00E26782">
      <w:pPr>
        <w:spacing w:after="240" w:line="240" w:lineRule="exact"/>
        <w:rPr>
          <w:rFonts w:eastAsiaTheme="minorEastAsia" w:cstheme="majorBidi"/>
          <w:color w:val="000000" w:themeColor="text1"/>
          <w:lang w:val="es-419"/>
        </w:rPr>
      </w:pPr>
      <w:r>
        <w:rPr>
          <w:lang w:val="es-ES"/>
        </w:rPr>
        <w:t xml:space="preserve">2.3.1.4.3. </w:t>
      </w:r>
      <w:r w:rsidR="008B0C15" w:rsidRPr="008B0C15">
        <w:rPr>
          <w:i/>
          <w:iCs/>
          <w:lang w:val="es-ES"/>
        </w:rPr>
        <w:t>Recomendaciones sobre la integración en el proceso nacional de predicción</w:t>
      </w:r>
    </w:p>
    <w:p w14:paraId="46388E71" w14:textId="5E87CECC" w:rsidR="003E5D1B" w:rsidRPr="008357EA" w:rsidRDefault="00E26782">
      <w:pPr>
        <w:spacing w:after="240" w:line="240" w:lineRule="exact"/>
        <w:rPr>
          <w:rFonts w:eastAsiaTheme="minorEastAsia" w:cstheme="majorBidi"/>
          <w:color w:val="000000" w:themeColor="text1"/>
          <w:lang w:val="es-419"/>
        </w:rPr>
      </w:pPr>
      <w:r>
        <w:rPr>
          <w:lang w:val="es-ES"/>
        </w:rPr>
        <w:t xml:space="preserve">Los productos de predicción numérica del tiempo por conjuntos de área limitada que los </w:t>
      </w:r>
      <w:r w:rsidR="00A95DEF">
        <w:rPr>
          <w:lang w:val="es-ES"/>
        </w:rPr>
        <w:t>CMRE</w:t>
      </w:r>
      <w:r>
        <w:rPr>
          <w:lang w:val="es-ES"/>
        </w:rPr>
        <w:t xml:space="preserve"> proporcionan consisten en estadísticas resumidas de los conjuntos en que se indican la media y la dispersión de estos en relación con variables sinópticas a gran escala, así como probabilidades relativas a una serie de umbrales significativos de variables como la precipitación y la velocidad del viento. Pueden utilizarse por sí solos para predecir la evolución a escala sinóptica junto con el riesgo de que se presenten condiciones meteorológicas de alto impacto, pero a muchos pronosticadores les resultará útil emplearlos junto con los productos que proporcionan los </w:t>
      </w:r>
      <w:r w:rsidR="00A95DEF">
        <w:rPr>
          <w:lang w:val="es-ES"/>
        </w:rPr>
        <w:t>CMRE</w:t>
      </w:r>
      <w:r>
        <w:rPr>
          <w:lang w:val="es-ES"/>
        </w:rPr>
        <w:t xml:space="preserve"> que hacen predicciones numéricas del tiempo determinísticas a escala mundial y de área limitada. Las predicciones determinísticas ofrecen escenarios realistas de campos meteorológicos coherentes que no están incluidos en los campos obligatorios que proporcionan los </w:t>
      </w:r>
      <w:r w:rsidR="00A95DEF">
        <w:rPr>
          <w:lang w:val="es-ES"/>
        </w:rPr>
        <w:t>CMRE</w:t>
      </w:r>
      <w:r>
        <w:rPr>
          <w:lang w:val="es-ES"/>
        </w:rPr>
        <w:t xml:space="preserve"> que hacen predicciones numéricas del tiempo por conjuntos a escala regional. Sin embargo, siempre hay que recordar que las predicciones determinísticas representan solo una de las posibilidades que podrían concretarse, y los pronosticadores no deben confiar en su exactitud, sobre todo si se desvían considerablemente de la media de los conjuntos o cuando la dispersión de estos sugiere que la incertidumbre es grande. Las probabilidades de los conjuntos de las predicciones numéricas del tiempo por conjuntos de área limitada suelen proporcionar los indicadores más fiables de la posibilidad de que se presenten condiciones meteorológicas de alto impacto. </w:t>
      </w:r>
    </w:p>
    <w:p w14:paraId="02BD56CD" w14:textId="4C200ADA" w:rsidR="003E5D1B" w:rsidRPr="008357EA" w:rsidRDefault="00E26782">
      <w:pPr>
        <w:spacing w:after="240" w:line="240" w:lineRule="exact"/>
        <w:rPr>
          <w:rFonts w:eastAsiaTheme="minorEastAsia" w:cstheme="majorBidi"/>
          <w:color w:val="000000" w:themeColor="text1"/>
          <w:lang w:val="es-419"/>
        </w:rPr>
      </w:pPr>
      <w:r>
        <w:rPr>
          <w:lang w:val="es-ES"/>
        </w:rPr>
        <w:lastRenderedPageBreak/>
        <w:t>2.3.1.4.4</w:t>
      </w:r>
      <w:r w:rsidR="0038717F">
        <w:rPr>
          <w:lang w:val="es-ES"/>
        </w:rPr>
        <w:t xml:space="preserve">. </w:t>
      </w:r>
      <w:r w:rsidR="00947A8C" w:rsidRPr="00947A8C">
        <w:rPr>
          <w:i/>
          <w:iCs/>
          <w:lang w:val="es-ES"/>
        </w:rPr>
        <w:t>Mecanismo de retroinformación sobre la utilidad y exactitud de los productos</w:t>
      </w:r>
    </w:p>
    <w:p w14:paraId="34B7B078" w14:textId="66EA68A6" w:rsidR="003E5D1B" w:rsidRPr="008357EA" w:rsidRDefault="00E26782">
      <w:pPr>
        <w:spacing w:after="240" w:line="240" w:lineRule="exact"/>
        <w:rPr>
          <w:rFonts w:eastAsiaTheme="minorEastAsia" w:cstheme="majorBidi"/>
          <w:color w:val="000000" w:themeColor="text1"/>
          <w:lang w:val="es-419"/>
        </w:rPr>
      </w:pPr>
      <w:r>
        <w:rPr>
          <w:lang w:val="es-ES"/>
        </w:rPr>
        <w:t xml:space="preserve">Se anima a los </w:t>
      </w:r>
      <w:r w:rsidR="006753E1">
        <w:rPr>
          <w:lang w:val="es-ES"/>
        </w:rPr>
        <w:t>CMN</w:t>
      </w:r>
      <w:r>
        <w:rPr>
          <w:lang w:val="es-ES"/>
        </w:rPr>
        <w:t xml:space="preserve"> a que recopilen información sobre las experiencias con los productos de las predicciones por conjuntos de área limitada en sus regiones, </w:t>
      </w:r>
      <w:r w:rsidR="00105C0D">
        <w:rPr>
          <w:lang w:val="es-ES"/>
        </w:rPr>
        <w:t>y a que informen sobre su utilidad y exactitud a los CMRE que los elaboraron</w:t>
      </w:r>
      <w:r>
        <w:rPr>
          <w:lang w:val="es-ES"/>
        </w:rPr>
        <w:t>.</w:t>
      </w:r>
    </w:p>
    <w:p w14:paraId="05F9B5B4" w14:textId="7FD4B3D2" w:rsidR="003E5D1B" w:rsidRPr="008357EA" w:rsidRDefault="00E26782">
      <w:pPr>
        <w:keepNext/>
        <w:spacing w:before="240" w:after="240" w:line="240" w:lineRule="exact"/>
        <w:ind w:left="1123" w:hanging="1123"/>
        <w:outlineLvl w:val="5"/>
        <w:rPr>
          <w:rFonts w:eastAsiaTheme="minorEastAsia" w:cstheme="majorBidi"/>
          <w:b/>
          <w:bCs/>
          <w:i/>
          <w:iCs/>
          <w:color w:val="000000" w:themeColor="text1"/>
          <w:lang w:val="es-419"/>
        </w:rPr>
      </w:pPr>
      <w:bookmarkStart w:id="121" w:name="_Toc113003316"/>
      <w:bookmarkStart w:id="122" w:name="_Toc113024441"/>
      <w:bookmarkStart w:id="123" w:name="_Toc117501973"/>
      <w:r>
        <w:rPr>
          <w:b/>
          <w:bCs/>
          <w:i/>
          <w:iCs/>
          <w:lang w:val="es-ES"/>
        </w:rPr>
        <w:t>2.3.1.5</w:t>
      </w:r>
      <w:r>
        <w:rPr>
          <w:lang w:val="es-ES"/>
        </w:rPr>
        <w:tab/>
      </w:r>
      <w:r>
        <w:rPr>
          <w:b/>
          <w:bCs/>
          <w:i/>
          <w:iCs/>
          <w:lang w:val="es-ES"/>
        </w:rPr>
        <w:t>Predicci</w:t>
      </w:r>
      <w:r w:rsidR="002E1451">
        <w:rPr>
          <w:b/>
          <w:bCs/>
          <w:i/>
          <w:iCs/>
          <w:lang w:val="es-ES"/>
        </w:rPr>
        <w:t>ón</w:t>
      </w:r>
      <w:r>
        <w:rPr>
          <w:b/>
          <w:bCs/>
          <w:i/>
          <w:iCs/>
          <w:lang w:val="es-ES"/>
        </w:rPr>
        <w:t xml:space="preserve"> numérica subestacional a escala mundial y coordinación de la </w:t>
      </w:r>
      <w:r w:rsidR="009420C3">
        <w:rPr>
          <w:b/>
          <w:bCs/>
          <w:i/>
          <w:iCs/>
          <w:lang w:val="es-ES"/>
        </w:rPr>
        <w:t>predicción</w:t>
      </w:r>
      <w:r>
        <w:rPr>
          <w:b/>
          <w:bCs/>
          <w:i/>
          <w:iCs/>
          <w:lang w:val="es-ES"/>
        </w:rPr>
        <w:t xml:space="preserve"> subestacional mediante conjuntos multimodelos</w:t>
      </w:r>
      <w:r>
        <w:rPr>
          <w:lang w:val="es-ES"/>
        </w:rPr>
        <w:t xml:space="preserve"> </w:t>
      </w:r>
      <w:bookmarkStart w:id="124" w:name="_Int_hp8vnTRe"/>
      <w:bookmarkEnd w:id="121"/>
      <w:bookmarkEnd w:id="122"/>
      <w:bookmarkEnd w:id="123"/>
    </w:p>
    <w:p w14:paraId="57BC7728" w14:textId="5034A41F" w:rsidR="003E5D1B" w:rsidRPr="008357EA" w:rsidRDefault="00E26782">
      <w:pPr>
        <w:spacing w:after="240" w:line="240" w:lineRule="exact"/>
        <w:rPr>
          <w:rFonts w:eastAsiaTheme="minorEastAsia" w:cstheme="majorBidi"/>
          <w:color w:val="000000" w:themeColor="text1"/>
          <w:lang w:val="es-419"/>
        </w:rPr>
      </w:pPr>
      <w:r>
        <w:rPr>
          <w:lang w:val="es-ES"/>
        </w:rPr>
        <w:t xml:space="preserve">2.3.1.5.1 </w:t>
      </w:r>
      <w:r w:rsidR="00947A8C" w:rsidRPr="00947A8C">
        <w:rPr>
          <w:i/>
          <w:iCs/>
          <w:lang w:val="es-ES"/>
        </w:rPr>
        <w:t>Resumen general de la actividad de los CMRE</w:t>
      </w:r>
      <w:r w:rsidR="00947A8C">
        <w:rPr>
          <w:lang w:val="es-ES"/>
        </w:rPr>
        <w:t xml:space="preserve"> </w:t>
      </w:r>
    </w:p>
    <w:p w14:paraId="74341F48" w14:textId="77777777" w:rsidR="003E5D1B" w:rsidRPr="008357EA" w:rsidRDefault="00E26782">
      <w:pPr>
        <w:spacing w:after="240" w:line="240" w:lineRule="exact"/>
        <w:rPr>
          <w:rFonts w:eastAsiaTheme="minorEastAsia" w:cstheme="majorBidi"/>
          <w:color w:val="000000" w:themeColor="text1"/>
          <w:lang w:val="es-419"/>
        </w:rPr>
      </w:pPr>
      <w:r>
        <w:rPr>
          <w:lang w:val="es-ES"/>
        </w:rPr>
        <w:t>Los centros sobre el clima comenzaron a hacer predicciones numéricas subestacionales a escala mundial de forma habitual a principios de 2000, ya que esas predicciones son esenciales para diversas actividades. Para que las predicciones numéricas subestacionales a escala mundial se mantengan operativas se necesita una gran cantidad de recursos. Por lo tanto, se estableció esa actividad con el propósito de poner a disposición de todos los Miembros de la OMM los datos y productos de calidad asegurada de la predicción numérica subestacional a escala mundial.</w:t>
      </w:r>
    </w:p>
    <w:p w14:paraId="0EA100A0" w14:textId="73096DB1" w:rsidR="003E5D1B" w:rsidRPr="008357EA" w:rsidRDefault="00E26782">
      <w:pPr>
        <w:spacing w:after="240" w:line="240" w:lineRule="exact"/>
        <w:rPr>
          <w:rFonts w:eastAsiaTheme="minorEastAsia" w:cstheme="majorBidi"/>
          <w:color w:val="000000" w:themeColor="text1"/>
          <w:lang w:val="es-419"/>
        </w:rPr>
      </w:pPr>
      <w:r>
        <w:rPr>
          <w:lang w:val="es-ES"/>
        </w:rPr>
        <w:t xml:space="preserve">Los </w:t>
      </w:r>
      <w:r w:rsidR="00A95DEF">
        <w:rPr>
          <w:lang w:val="es-ES"/>
        </w:rPr>
        <w:t>CMRE</w:t>
      </w:r>
      <w:r>
        <w:rPr>
          <w:lang w:val="es-ES"/>
        </w:rPr>
        <w:t xml:space="preserve"> que hacen predicciones numéricas subestacionales a escala mundial </w:t>
      </w:r>
      <w:r w:rsidR="00CB0838">
        <w:rPr>
          <w:lang w:val="es-ES"/>
        </w:rPr>
        <w:t>se encargan de elaborar</w:t>
      </w:r>
      <w:r>
        <w:rPr>
          <w:lang w:val="es-ES"/>
        </w:rPr>
        <w:t xml:space="preserve"> campos de predicción a escala mundial de parámetros atmosféricos y oceánicos básicos, generados a partir de sus propios sistemas de predicción numérica subestacional a escala mundial, así como </w:t>
      </w:r>
      <w:r w:rsidR="00B4655B">
        <w:rPr>
          <w:lang w:val="es-ES"/>
        </w:rPr>
        <w:t>estadísticas de verificación normalizada y asociada</w:t>
      </w:r>
      <w:r>
        <w:rPr>
          <w:lang w:val="es-ES"/>
        </w:rPr>
        <w:t xml:space="preserve">. </w:t>
      </w:r>
    </w:p>
    <w:p w14:paraId="51A1AA27" w14:textId="41855790" w:rsidR="003E5D1B" w:rsidRPr="008357EA" w:rsidRDefault="00E26782">
      <w:pPr>
        <w:spacing w:after="240" w:line="240" w:lineRule="exact"/>
        <w:rPr>
          <w:rFonts w:eastAsiaTheme="minorEastAsia" w:cstheme="majorBidi"/>
          <w:color w:val="000000" w:themeColor="text1"/>
          <w:lang w:val="es-419"/>
        </w:rPr>
      </w:pPr>
      <w:r>
        <w:rPr>
          <w:lang w:val="es-ES"/>
        </w:rPr>
        <w:t xml:space="preserve">i) </w:t>
      </w:r>
      <w:r w:rsidR="00947A8C" w:rsidRPr="00947A8C">
        <w:rPr>
          <w:i/>
          <w:iCs/>
          <w:lang w:val="es-ES"/>
        </w:rPr>
        <w:t>Centros designados y modalidad de trabajo</w:t>
      </w:r>
    </w:p>
    <w:p w14:paraId="42098491" w14:textId="07279243" w:rsidR="003E5D1B" w:rsidRPr="008357EA" w:rsidRDefault="00E26782">
      <w:pPr>
        <w:spacing w:after="240" w:line="240" w:lineRule="exact"/>
        <w:rPr>
          <w:rFonts w:eastAsia="Verdana" w:cs="Verdana"/>
          <w:color w:val="000000" w:themeColor="text1"/>
          <w:lang w:val="es-419"/>
        </w:rPr>
      </w:pPr>
      <w:r>
        <w:rPr>
          <w:lang w:val="es-ES"/>
        </w:rPr>
        <w:t xml:space="preserve">Los </w:t>
      </w:r>
      <w:r w:rsidR="00A95DEF">
        <w:rPr>
          <w:lang w:val="es-ES"/>
        </w:rPr>
        <w:t>CMRE</w:t>
      </w:r>
      <w:r>
        <w:rPr>
          <w:lang w:val="es-ES"/>
        </w:rPr>
        <w:t xml:space="preserve"> designados para las predicciones numéricas subestacionales a escala mundial se aprobaron en la 76ª reunión del </w:t>
      </w:r>
      <w:r w:rsidR="00F81A61">
        <w:rPr>
          <w:lang w:val="es-ES"/>
        </w:rPr>
        <w:t>Consejo Ejecutivo</w:t>
      </w:r>
      <w:r>
        <w:rPr>
          <w:lang w:val="es-ES"/>
        </w:rPr>
        <w:t xml:space="preserve"> (2023). La lista de </w:t>
      </w:r>
      <w:r w:rsidR="00DA5B83">
        <w:rPr>
          <w:lang w:val="es-ES"/>
        </w:rPr>
        <w:t>esos centros</w:t>
      </w:r>
      <w:r>
        <w:rPr>
          <w:lang w:val="es-ES"/>
        </w:rPr>
        <w:t xml:space="preserve">, también conocidos con el nombre de Centro Mundial de Producción de Predicciones Subestacionales, figura en la parte III del </w:t>
      </w:r>
      <w:r w:rsidR="00B36420" w:rsidRPr="00B36420">
        <w:rPr>
          <w:i/>
          <w:iCs/>
          <w:lang w:val="es-ES"/>
        </w:rPr>
        <w:t>Manual del GDPFS</w:t>
      </w:r>
      <w:r>
        <w:rPr>
          <w:lang w:val="es-ES"/>
        </w:rPr>
        <w:t xml:space="preserve">. </w:t>
      </w:r>
    </w:p>
    <w:p w14:paraId="022F85D2" w14:textId="40E6E755" w:rsidR="003E5D1B" w:rsidRPr="008357EA" w:rsidRDefault="00E26782">
      <w:pPr>
        <w:spacing w:after="240" w:line="240" w:lineRule="exact"/>
        <w:rPr>
          <w:rFonts w:eastAsiaTheme="minorEastAsia" w:cstheme="majorBidi"/>
          <w:color w:val="000000" w:themeColor="text1"/>
          <w:lang w:val="es-419"/>
        </w:rPr>
      </w:pPr>
      <w:r>
        <w:rPr>
          <w:lang w:val="es-ES"/>
        </w:rPr>
        <w:t xml:space="preserve">Cada uno de esos centros proporcionará datos y productos con cobertura mundial, entre ellos estadísticas de verificación de acuerdo con el Sistema de Verificación Normalizada de Predicciones Subestacionales (que se describe en el apéndice 2.2.45 del </w:t>
      </w:r>
      <w:r w:rsidR="00B36420" w:rsidRPr="00B36420">
        <w:rPr>
          <w:i/>
          <w:iCs/>
          <w:lang w:val="es-ES"/>
        </w:rPr>
        <w:t>Manual del GDPFS</w:t>
      </w:r>
      <w:r>
        <w:rPr>
          <w:lang w:val="es-ES"/>
        </w:rPr>
        <w:t>)</w:t>
      </w:r>
      <w:r w:rsidR="00DA5B83">
        <w:rPr>
          <w:lang w:val="es-ES"/>
        </w:rPr>
        <w:t>,</w:t>
      </w:r>
      <w:r>
        <w:rPr>
          <w:lang w:val="es-ES"/>
        </w:rPr>
        <w:t xml:space="preserve"> que estarán disponibles en su propio sitio web, así como información actualizada sobre las características de sus sistemas de predicción numérica subestacional a escala mundial. </w:t>
      </w:r>
    </w:p>
    <w:p w14:paraId="742D8647" w14:textId="17239780" w:rsidR="003E5D1B" w:rsidRPr="008357EA" w:rsidRDefault="00E26782">
      <w:pPr>
        <w:spacing w:after="240" w:line="240" w:lineRule="exact"/>
        <w:rPr>
          <w:rFonts w:eastAsiaTheme="minorEastAsia" w:cstheme="majorBidi"/>
          <w:color w:val="000000" w:themeColor="text1"/>
          <w:lang w:val="es-419"/>
        </w:rPr>
      </w:pPr>
      <w:r>
        <w:rPr>
          <w:lang w:val="es-ES"/>
        </w:rPr>
        <w:t xml:space="preserve">Está previsto que </w:t>
      </w:r>
      <w:r w:rsidR="00DA5B83">
        <w:rPr>
          <w:lang w:val="es-ES"/>
        </w:rPr>
        <w:t xml:space="preserve">el Centro Principal de Predicción Subestacional mediante Conjuntos Multimodelos lleve a cabo </w:t>
      </w:r>
      <w:r>
        <w:rPr>
          <w:lang w:val="es-ES"/>
        </w:rPr>
        <w:t>la coordinación entre esos centro</w:t>
      </w:r>
      <w:r w:rsidR="00DA5B83">
        <w:rPr>
          <w:lang w:val="es-ES"/>
        </w:rPr>
        <w:t>s</w:t>
      </w:r>
      <w:r>
        <w:rPr>
          <w:lang w:val="es-ES"/>
        </w:rPr>
        <w:t xml:space="preserve">, que </w:t>
      </w:r>
      <w:r w:rsidR="00DA5B83">
        <w:rPr>
          <w:lang w:val="es-ES"/>
        </w:rPr>
        <w:t>constituye</w:t>
      </w:r>
      <w:r>
        <w:rPr>
          <w:lang w:val="es-ES"/>
        </w:rPr>
        <w:t xml:space="preserve"> una actividad. Los Centros Mundiales de Producción de Predicciones Subestacionales deben enviar datos de predicción a ese Centro Principal para que elabore productos de predicci</w:t>
      </w:r>
      <w:r w:rsidR="003D6496">
        <w:rPr>
          <w:lang w:val="es-ES"/>
        </w:rPr>
        <w:t>ón</w:t>
      </w:r>
      <w:r>
        <w:rPr>
          <w:lang w:val="es-ES"/>
        </w:rPr>
        <w:t xml:space="preserve"> multimodelos. El Centro Principal se encarga de </w:t>
      </w:r>
      <w:r w:rsidR="003D6496">
        <w:rPr>
          <w:lang w:val="es-ES"/>
        </w:rPr>
        <w:t>elaborar</w:t>
      </w:r>
      <w:r>
        <w:rPr>
          <w:lang w:val="es-ES"/>
        </w:rPr>
        <w:t xml:space="preserve"> y poner a disposición predicciones subestacionales por conjuntos multimodelos, así como de mantener un archivo digital de datos de predicción y un repositorio de documentos para la configuración de todos los sistemas de modelización de los Centros Mundiales de Producción de Predicciones Subestacionales</w:t>
      </w:r>
      <w:r w:rsidR="003D6496">
        <w:rPr>
          <w:lang w:val="es-ES"/>
        </w:rPr>
        <w:t>,</w:t>
      </w:r>
      <w:r>
        <w:rPr>
          <w:lang w:val="es-ES"/>
        </w:rPr>
        <w:t xml:space="preserve"> a fin de que los usuarios puedan comprobar las diferencias técnicas entre los sistemas disponibles, evaluar la calidad de las predicciones y comparar el desempeño de los distintos sistemas de modelización. El Centro Principal promueve las investigaciones y el intercambio de experiencias en técnicas de predicción mediante conjuntos multimodelos, y proporciona orientación y apoyo en relación con esas técnicas a los Centros Mundiales de Producción de Predicciones Subestacionales, los </w:t>
      </w:r>
      <w:r w:rsidR="000F493D">
        <w:rPr>
          <w:lang w:val="es-ES"/>
        </w:rPr>
        <w:t>Centros Regionales sobre el Clima (</w:t>
      </w:r>
      <w:r>
        <w:rPr>
          <w:lang w:val="es-ES"/>
        </w:rPr>
        <w:t>CRC</w:t>
      </w:r>
      <w:r w:rsidR="000F493D">
        <w:rPr>
          <w:lang w:val="es-ES"/>
        </w:rPr>
        <w:t>)</w:t>
      </w:r>
      <w:r>
        <w:rPr>
          <w:lang w:val="es-ES"/>
        </w:rPr>
        <w:t xml:space="preserve"> y los </w:t>
      </w:r>
      <w:r w:rsidR="006753E1">
        <w:rPr>
          <w:lang w:val="es-ES"/>
        </w:rPr>
        <w:t>CMN</w:t>
      </w:r>
      <w:r>
        <w:rPr>
          <w:lang w:val="es-ES"/>
        </w:rPr>
        <w:t>.</w:t>
      </w:r>
    </w:p>
    <w:p w14:paraId="11854C75" w14:textId="4742E804" w:rsidR="003E5D1B" w:rsidRPr="008357EA" w:rsidRDefault="00E26782">
      <w:pPr>
        <w:spacing w:after="240" w:line="240" w:lineRule="exact"/>
        <w:rPr>
          <w:rFonts w:eastAsiaTheme="minorEastAsia" w:cstheme="majorBidi"/>
          <w:color w:val="000000" w:themeColor="text1"/>
          <w:lang w:val="es-419"/>
        </w:rPr>
      </w:pPr>
      <w:r>
        <w:rPr>
          <w:lang w:val="es-ES"/>
        </w:rPr>
        <w:t xml:space="preserve">ii) </w:t>
      </w:r>
      <w:r w:rsidR="00947A8C" w:rsidRPr="00947A8C">
        <w:rPr>
          <w:i/>
          <w:iCs/>
          <w:lang w:val="es-ES"/>
        </w:rPr>
        <w:t>Qué beneficios pueden obtener los CMN de los CMRE y cómo pueden contribuir con ellos</w:t>
      </w:r>
      <w:r>
        <w:rPr>
          <w:lang w:val="es-ES"/>
        </w:rPr>
        <w:t xml:space="preserve"> </w:t>
      </w:r>
    </w:p>
    <w:p w14:paraId="41D2D5E2" w14:textId="40CEC3DC" w:rsidR="003E5D1B" w:rsidRPr="008357EA" w:rsidRDefault="00E26782">
      <w:pPr>
        <w:spacing w:after="240" w:line="240" w:lineRule="exact"/>
        <w:rPr>
          <w:rFonts w:eastAsiaTheme="minorEastAsia" w:cstheme="majorBidi"/>
          <w:color w:val="000000" w:themeColor="text1"/>
          <w:lang w:val="es-419"/>
        </w:rPr>
      </w:pPr>
      <w:r>
        <w:rPr>
          <w:lang w:val="es-ES"/>
        </w:rPr>
        <w:t xml:space="preserve">En el futuro, los </w:t>
      </w:r>
      <w:r w:rsidR="006753E1">
        <w:rPr>
          <w:lang w:val="es-ES"/>
        </w:rPr>
        <w:t>CMN</w:t>
      </w:r>
      <w:r>
        <w:rPr>
          <w:lang w:val="es-ES"/>
        </w:rPr>
        <w:t xml:space="preserve"> podrán utilizar el WIS para acceder a los datos y productos que ponen a disposición los </w:t>
      </w:r>
      <w:r w:rsidR="00A95DEF">
        <w:rPr>
          <w:lang w:val="es-ES"/>
        </w:rPr>
        <w:t>CMRE</w:t>
      </w:r>
      <w:r>
        <w:rPr>
          <w:lang w:val="es-ES"/>
        </w:rPr>
        <w:t xml:space="preserve"> que hacen predicciones numéricas subestacionales a escala mundial.</w:t>
      </w:r>
    </w:p>
    <w:p w14:paraId="50640D7A" w14:textId="0DCDFD02" w:rsidR="003E5D1B" w:rsidRPr="008357EA" w:rsidRDefault="00E26782">
      <w:pPr>
        <w:spacing w:after="240" w:line="240" w:lineRule="exact"/>
        <w:rPr>
          <w:rFonts w:eastAsiaTheme="minorEastAsia" w:cstheme="majorBidi"/>
          <w:color w:val="000000" w:themeColor="text1"/>
          <w:lang w:val="es-419"/>
        </w:rPr>
      </w:pPr>
      <w:r>
        <w:rPr>
          <w:lang w:val="es-ES"/>
        </w:rPr>
        <w:t xml:space="preserve">Los </w:t>
      </w:r>
      <w:r w:rsidR="006753E1">
        <w:rPr>
          <w:lang w:val="es-ES"/>
        </w:rPr>
        <w:t>CMN</w:t>
      </w:r>
      <w:r>
        <w:rPr>
          <w:lang w:val="es-ES"/>
        </w:rPr>
        <w:t xml:space="preserve"> podrán contribuir a la actividad de los </w:t>
      </w:r>
      <w:r w:rsidR="00A95DEF">
        <w:rPr>
          <w:lang w:val="es-ES"/>
        </w:rPr>
        <w:t>CMRE</w:t>
      </w:r>
      <w:r>
        <w:rPr>
          <w:lang w:val="es-ES"/>
        </w:rPr>
        <w:t xml:space="preserve"> de las siguientes maneras (enumeración no taxativa): 1) llevando a cabo verificaciones objetivas y proporcionando retroinformación </w:t>
      </w:r>
      <w:r>
        <w:rPr>
          <w:lang w:val="es-ES"/>
        </w:rPr>
        <w:lastRenderedPageBreak/>
        <w:t xml:space="preserve">sobre el desempeño de los respectivos modelos en sus países; 2) haciendo estudios de caso sobre fenómenos concretos y transmitiendo esa información a los </w:t>
      </w:r>
      <w:r w:rsidR="00A95DEF">
        <w:rPr>
          <w:lang w:val="es-ES"/>
        </w:rPr>
        <w:t>CMRE</w:t>
      </w:r>
      <w:r>
        <w:rPr>
          <w:lang w:val="es-ES"/>
        </w:rPr>
        <w:t xml:space="preserve">; 3) trabajando con los </w:t>
      </w:r>
      <w:r w:rsidR="00A95DEF">
        <w:rPr>
          <w:lang w:val="es-ES"/>
        </w:rPr>
        <w:t>CMRE</w:t>
      </w:r>
      <w:r>
        <w:rPr>
          <w:lang w:val="es-ES"/>
        </w:rPr>
        <w:t xml:space="preserve"> en avances concretos de los modelos, sobre la base de los resultados de las verificaciones, y 4) proporcionando otros datos observacionales para que se asimilen en los modelos</w:t>
      </w:r>
      <w:r w:rsidR="0038717F">
        <w:rPr>
          <w:lang w:val="es-ES"/>
        </w:rPr>
        <w:t xml:space="preserve">. </w:t>
      </w:r>
    </w:p>
    <w:p w14:paraId="2965DB03" w14:textId="342EA371" w:rsidR="003E5D1B" w:rsidRPr="008357EA" w:rsidRDefault="00E26782">
      <w:pPr>
        <w:spacing w:after="240" w:line="240" w:lineRule="exact"/>
        <w:rPr>
          <w:rFonts w:eastAsiaTheme="minorEastAsia" w:cstheme="majorBidi"/>
          <w:color w:val="000000" w:themeColor="text1"/>
          <w:lang w:val="es-419"/>
        </w:rPr>
      </w:pPr>
      <w:r>
        <w:rPr>
          <w:lang w:val="es-ES"/>
        </w:rPr>
        <w:t xml:space="preserve">2.3.1.5.2. </w:t>
      </w:r>
      <w:r w:rsidR="00947A8C" w:rsidRPr="00947A8C">
        <w:rPr>
          <w:i/>
          <w:iCs/>
          <w:lang w:val="es-ES"/>
        </w:rPr>
        <w:t>Esferas de aplicación y servicio que los CMRE podrían respaldar</w:t>
      </w:r>
    </w:p>
    <w:p w14:paraId="438FC5D3" w14:textId="14792620" w:rsidR="003E5D1B" w:rsidRPr="008357EA" w:rsidRDefault="00E26782">
      <w:pPr>
        <w:spacing w:after="240" w:line="240" w:lineRule="exact"/>
        <w:rPr>
          <w:rFonts w:eastAsiaTheme="minorEastAsia" w:cstheme="majorBidi"/>
          <w:color w:val="000000" w:themeColor="text1"/>
          <w:lang w:val="es-419"/>
        </w:rPr>
      </w:pPr>
      <w:r>
        <w:rPr>
          <w:lang w:val="es-ES"/>
        </w:rPr>
        <w:t xml:space="preserve">Los productos que ponen a disposición los </w:t>
      </w:r>
      <w:r w:rsidR="00A95DEF">
        <w:rPr>
          <w:lang w:val="es-ES"/>
        </w:rPr>
        <w:t>CMRE</w:t>
      </w:r>
      <w:r>
        <w:rPr>
          <w:lang w:val="es-ES"/>
        </w:rPr>
        <w:t xml:space="preserve"> que hacen predicciones numéricas subestacionales a escala mundial respaldan muchos tipos de esferas de aplicación y servicio, pero sobre todo las siguientes:</w:t>
      </w:r>
    </w:p>
    <w:p w14:paraId="7DA51148" w14:textId="77777777" w:rsidR="003E5D1B" w:rsidRDefault="00E26782">
      <w:pPr>
        <w:numPr>
          <w:ilvl w:val="0"/>
          <w:numId w:val="17"/>
        </w:numPr>
        <w:tabs>
          <w:tab w:val="clear" w:pos="1134"/>
          <w:tab w:val="left" w:pos="960"/>
        </w:tabs>
        <w:spacing w:after="240" w:line="240" w:lineRule="exact"/>
        <w:rPr>
          <w:color w:val="000000" w:themeColor="text1"/>
        </w:rPr>
      </w:pPr>
      <w:r>
        <w:rPr>
          <w:lang w:val="es-ES"/>
        </w:rPr>
        <w:t>Servicios públicos de predicción subestacional</w:t>
      </w:r>
    </w:p>
    <w:p w14:paraId="4094EAFF" w14:textId="77777777" w:rsidR="003E5D1B" w:rsidRPr="008357EA" w:rsidRDefault="00E26782">
      <w:pPr>
        <w:numPr>
          <w:ilvl w:val="0"/>
          <w:numId w:val="17"/>
        </w:numPr>
        <w:tabs>
          <w:tab w:val="clear" w:pos="1134"/>
          <w:tab w:val="left" w:pos="960"/>
        </w:tabs>
        <w:spacing w:after="240" w:line="240" w:lineRule="exact"/>
        <w:rPr>
          <w:color w:val="000000" w:themeColor="text1"/>
          <w:lang w:val="es-419"/>
        </w:rPr>
      </w:pPr>
      <w:r>
        <w:rPr>
          <w:lang w:val="es-ES"/>
        </w:rPr>
        <w:t xml:space="preserve">Sistemas de alerta temprana de peligros múltiples </w:t>
      </w:r>
    </w:p>
    <w:p w14:paraId="2C080B95" w14:textId="77777777" w:rsidR="003E5D1B" w:rsidRPr="008357EA" w:rsidRDefault="00E26782">
      <w:pPr>
        <w:numPr>
          <w:ilvl w:val="0"/>
          <w:numId w:val="17"/>
        </w:numPr>
        <w:tabs>
          <w:tab w:val="clear" w:pos="1134"/>
          <w:tab w:val="left" w:pos="960"/>
        </w:tabs>
        <w:spacing w:after="240" w:line="240" w:lineRule="exact"/>
        <w:rPr>
          <w:color w:val="000000" w:themeColor="text1"/>
          <w:lang w:val="es-419"/>
        </w:rPr>
      </w:pPr>
      <w:r>
        <w:rPr>
          <w:lang w:val="es-ES"/>
        </w:rPr>
        <w:t>Servicios de alerta temprana de riesgos para la salud</w:t>
      </w:r>
    </w:p>
    <w:p w14:paraId="4BB12FE4" w14:textId="77777777" w:rsidR="003E5D1B" w:rsidRPr="008357EA" w:rsidRDefault="00E26782">
      <w:pPr>
        <w:numPr>
          <w:ilvl w:val="0"/>
          <w:numId w:val="17"/>
        </w:numPr>
        <w:tabs>
          <w:tab w:val="clear" w:pos="1134"/>
          <w:tab w:val="left" w:pos="960"/>
        </w:tabs>
        <w:spacing w:after="240" w:line="240" w:lineRule="exact"/>
        <w:rPr>
          <w:color w:val="000000" w:themeColor="text1"/>
          <w:lang w:val="es-419"/>
        </w:rPr>
      </w:pPr>
      <w:r>
        <w:rPr>
          <w:lang w:val="es-ES"/>
        </w:rPr>
        <w:t>Servicios meteorológicos marinos y aplicaciones oceánicas</w:t>
      </w:r>
    </w:p>
    <w:p w14:paraId="678712B8" w14:textId="77777777" w:rsidR="003E5D1B" w:rsidRPr="008357EA" w:rsidRDefault="00E26782">
      <w:pPr>
        <w:numPr>
          <w:ilvl w:val="0"/>
          <w:numId w:val="17"/>
        </w:numPr>
        <w:tabs>
          <w:tab w:val="clear" w:pos="1134"/>
          <w:tab w:val="left" w:pos="960"/>
        </w:tabs>
        <w:spacing w:after="240" w:line="240" w:lineRule="exact"/>
        <w:rPr>
          <w:color w:val="000000" w:themeColor="text1"/>
          <w:lang w:val="es-419"/>
        </w:rPr>
      </w:pPr>
      <w:r>
        <w:rPr>
          <w:lang w:val="es-ES"/>
        </w:rPr>
        <w:t>Servicios de recursos hídricos e hidrológicos</w:t>
      </w:r>
    </w:p>
    <w:p w14:paraId="43E61554" w14:textId="77777777" w:rsidR="003E5D1B" w:rsidRDefault="00E26782">
      <w:pPr>
        <w:numPr>
          <w:ilvl w:val="0"/>
          <w:numId w:val="17"/>
        </w:numPr>
        <w:tabs>
          <w:tab w:val="clear" w:pos="1134"/>
          <w:tab w:val="left" w:pos="960"/>
        </w:tabs>
        <w:spacing w:after="240" w:line="240" w:lineRule="exact"/>
        <w:rPr>
          <w:color w:val="000000" w:themeColor="text1"/>
        </w:rPr>
      </w:pPr>
      <w:r>
        <w:rPr>
          <w:lang w:val="es-ES"/>
        </w:rPr>
        <w:t>Servicios de agrometeorología</w:t>
      </w:r>
    </w:p>
    <w:p w14:paraId="6CCD1459" w14:textId="30AED5AC" w:rsidR="003E5D1B" w:rsidRPr="008357EA" w:rsidRDefault="00E26782">
      <w:pPr>
        <w:spacing w:after="240" w:line="240" w:lineRule="exact"/>
        <w:rPr>
          <w:rFonts w:eastAsiaTheme="minorEastAsia" w:cstheme="majorBidi"/>
          <w:color w:val="000000" w:themeColor="text1"/>
          <w:lang w:val="es-419"/>
        </w:rPr>
      </w:pPr>
      <w:r>
        <w:rPr>
          <w:lang w:val="es-ES"/>
        </w:rPr>
        <w:t xml:space="preserve">2.3.1.5.3. </w:t>
      </w:r>
      <w:r w:rsidR="008B0C15" w:rsidRPr="008B0C15">
        <w:rPr>
          <w:i/>
          <w:iCs/>
          <w:lang w:val="es-ES"/>
        </w:rPr>
        <w:t>Recomendaciones sobre la integración en el proceso nacional de predicción</w:t>
      </w:r>
    </w:p>
    <w:p w14:paraId="12929C8F" w14:textId="1A6E9185" w:rsidR="003E5D1B" w:rsidRPr="008357EA" w:rsidRDefault="00E26782">
      <w:pPr>
        <w:spacing w:after="240" w:line="240" w:lineRule="exact"/>
        <w:rPr>
          <w:rFonts w:eastAsiaTheme="minorEastAsia" w:cstheme="majorBidi"/>
          <w:color w:val="000000" w:themeColor="text1"/>
          <w:lang w:val="es-419"/>
        </w:rPr>
      </w:pPr>
      <w:r>
        <w:rPr>
          <w:lang w:val="es-ES"/>
        </w:rPr>
        <w:t xml:space="preserve">De conformidad con un procedimiento similar recomendado para hacer predicciones a largo plazo a escala regional y nacional a partir de Centros Mundiales de Producción de Predicciones a Largo Plazo numéricas —procedimiento que se establece en el documento </w:t>
      </w:r>
      <w:hyperlink r:id="rId31" w:anchor=".YxXf9y35Qkg" w:history="1">
        <w:r w:rsidRPr="00983B0A">
          <w:rPr>
            <w:rStyle w:val="Hyperlink"/>
            <w:i/>
            <w:iCs/>
            <w:lang w:val="es-ES"/>
          </w:rPr>
          <w:t>Guidance on Operational Practices for Objective Seasonal Forecasting</w:t>
        </w:r>
      </w:hyperlink>
      <w:r>
        <w:rPr>
          <w:i/>
          <w:iCs/>
          <w:lang w:val="es-ES"/>
        </w:rPr>
        <w:t xml:space="preserve"> </w:t>
      </w:r>
      <w:r>
        <w:rPr>
          <w:lang w:val="es-ES"/>
        </w:rPr>
        <w:t>(</w:t>
      </w:r>
      <w:r w:rsidR="00CA1DA5">
        <w:rPr>
          <w:lang w:val="es-ES"/>
        </w:rPr>
        <w:t>WMO-No. </w:t>
      </w:r>
      <w:r>
        <w:rPr>
          <w:lang w:val="es-ES"/>
        </w:rPr>
        <w:t xml:space="preserve">1246) (Orientaciones sobre prácticas operativas para la predicción estacional objetiva)—, para </w:t>
      </w:r>
      <w:r w:rsidR="00983B0A">
        <w:rPr>
          <w:lang w:val="es-ES"/>
        </w:rPr>
        <w:t>elaborar</w:t>
      </w:r>
      <w:r>
        <w:rPr>
          <w:lang w:val="es-ES"/>
        </w:rPr>
        <w:t xml:space="preserve"> predicciones subestacionales se brindan las siguientes recomendaciones:</w:t>
      </w:r>
    </w:p>
    <w:p w14:paraId="1D8CE81A" w14:textId="20F3FAE6" w:rsidR="003E5D1B" w:rsidRPr="008357EA" w:rsidRDefault="00E26782">
      <w:pPr>
        <w:numPr>
          <w:ilvl w:val="0"/>
          <w:numId w:val="18"/>
        </w:numPr>
        <w:tabs>
          <w:tab w:val="clear" w:pos="1134"/>
          <w:tab w:val="left" w:pos="960"/>
        </w:tabs>
        <w:spacing w:after="240" w:line="240" w:lineRule="exact"/>
        <w:rPr>
          <w:color w:val="000000" w:themeColor="text1"/>
          <w:lang w:val="es-419"/>
        </w:rPr>
      </w:pPr>
      <w:r>
        <w:rPr>
          <w:lang w:val="es-ES"/>
        </w:rPr>
        <w:t xml:space="preserve">PASO 1: Elegir los modelos de los Centros Mundiales de Producción de Predicciones Subestacionales de </w:t>
      </w:r>
      <w:r w:rsidR="00CC0990">
        <w:rPr>
          <w:lang w:val="es-ES"/>
        </w:rPr>
        <w:t>manera uniforme</w:t>
      </w:r>
      <w:r>
        <w:rPr>
          <w:lang w:val="es-ES"/>
        </w:rPr>
        <w:t xml:space="preserve"> y, si se desea, seleccionar los modelos que se utilizarán en la región.</w:t>
      </w:r>
    </w:p>
    <w:p w14:paraId="41B0F23B" w14:textId="4AED202C" w:rsidR="003E5D1B" w:rsidRPr="008357EA" w:rsidRDefault="00E26782">
      <w:pPr>
        <w:numPr>
          <w:ilvl w:val="0"/>
          <w:numId w:val="18"/>
        </w:numPr>
        <w:tabs>
          <w:tab w:val="clear" w:pos="1134"/>
          <w:tab w:val="left" w:pos="960"/>
        </w:tabs>
        <w:spacing w:after="240" w:line="240" w:lineRule="exact"/>
        <w:rPr>
          <w:color w:val="000000" w:themeColor="text1"/>
          <w:lang w:val="es-419"/>
        </w:rPr>
      </w:pPr>
      <w:r>
        <w:rPr>
          <w:lang w:val="es-ES"/>
        </w:rPr>
        <w:t>PASO 2: Corregir el sesgo, calibrar y combinar las predicciones utilizando el enfoque multimodelo</w:t>
      </w:r>
      <w:r w:rsidR="00CC0990">
        <w:rPr>
          <w:lang w:val="es-ES"/>
        </w:rPr>
        <w:t>s</w:t>
      </w:r>
      <w:r>
        <w:rPr>
          <w:lang w:val="es-ES"/>
        </w:rPr>
        <w:t>, para obtener predicciones a escala regional.</w:t>
      </w:r>
    </w:p>
    <w:p w14:paraId="3C499188" w14:textId="1CC3DC11" w:rsidR="003E5D1B" w:rsidRPr="008357EA" w:rsidRDefault="00E26782">
      <w:pPr>
        <w:numPr>
          <w:ilvl w:val="0"/>
          <w:numId w:val="18"/>
        </w:numPr>
        <w:tabs>
          <w:tab w:val="clear" w:pos="1134"/>
          <w:tab w:val="left" w:pos="960"/>
        </w:tabs>
        <w:spacing w:after="240" w:line="240" w:lineRule="exact"/>
        <w:rPr>
          <w:color w:val="000000" w:themeColor="text1"/>
          <w:lang w:val="es-419"/>
        </w:rPr>
      </w:pPr>
      <w:r>
        <w:rPr>
          <w:lang w:val="es-ES"/>
        </w:rPr>
        <w:t xml:space="preserve">PASO 3: Las predicciones a escala regional pueden reducirse </w:t>
      </w:r>
      <w:r w:rsidR="00B04A7A">
        <w:rPr>
          <w:lang w:val="es-ES"/>
        </w:rPr>
        <w:t xml:space="preserve">luego </w:t>
      </w:r>
      <w:r>
        <w:rPr>
          <w:lang w:val="es-ES"/>
        </w:rPr>
        <w:t>a escala local.</w:t>
      </w:r>
    </w:p>
    <w:p w14:paraId="6D60EEE9" w14:textId="1D416891" w:rsidR="003E5D1B" w:rsidRPr="008357EA" w:rsidRDefault="00E26782">
      <w:pPr>
        <w:spacing w:after="240" w:line="240" w:lineRule="exact"/>
        <w:rPr>
          <w:rFonts w:eastAsiaTheme="minorEastAsia" w:cstheme="majorBidi"/>
          <w:color w:val="000000" w:themeColor="text1"/>
          <w:lang w:val="es-419"/>
        </w:rPr>
      </w:pPr>
      <w:r>
        <w:rPr>
          <w:lang w:val="es-ES"/>
        </w:rPr>
        <w:t>2.3.1.5.4</w:t>
      </w:r>
      <w:r w:rsidR="0038717F">
        <w:rPr>
          <w:lang w:val="es-ES"/>
        </w:rPr>
        <w:t xml:space="preserve">. </w:t>
      </w:r>
      <w:r w:rsidR="00947A8C" w:rsidRPr="00947A8C">
        <w:rPr>
          <w:i/>
          <w:iCs/>
          <w:lang w:val="es-ES"/>
        </w:rPr>
        <w:t>Mecanismo de retroinformación sobre la utilidad y exactitud de los productos</w:t>
      </w:r>
    </w:p>
    <w:p w14:paraId="3ABA5F0D" w14:textId="2684FAB6" w:rsidR="003E5D1B" w:rsidRPr="008357EA" w:rsidRDefault="00E26782">
      <w:pPr>
        <w:spacing w:after="240" w:line="240" w:lineRule="exact"/>
        <w:rPr>
          <w:rFonts w:eastAsiaTheme="minorEastAsia" w:cstheme="majorBidi"/>
          <w:color w:val="000000" w:themeColor="text1"/>
          <w:lang w:val="es-419"/>
        </w:rPr>
      </w:pPr>
      <w:r>
        <w:rPr>
          <w:lang w:val="es-ES"/>
        </w:rPr>
        <w:t xml:space="preserve">Se anima a los </w:t>
      </w:r>
      <w:r w:rsidR="006753E1">
        <w:rPr>
          <w:lang w:val="es-ES"/>
        </w:rPr>
        <w:t>CMN</w:t>
      </w:r>
      <w:r>
        <w:rPr>
          <w:lang w:val="es-ES"/>
        </w:rPr>
        <w:t xml:space="preserve"> a verificar los productos de predicción numérica subestacional a escala mundial utilizando los procedimientos normalizados de verificación que se definen en el apéndice 2.2.45 del </w:t>
      </w:r>
      <w:r w:rsidR="00B36420" w:rsidRPr="00B36420">
        <w:rPr>
          <w:i/>
          <w:iCs/>
          <w:lang w:val="es-ES"/>
        </w:rPr>
        <w:t>Manual del GDPFS</w:t>
      </w:r>
      <w:r>
        <w:rPr>
          <w:lang w:val="es-ES"/>
        </w:rPr>
        <w:t xml:space="preserve">, y a poner los resultados de la verificación a disposición de los </w:t>
      </w:r>
      <w:r w:rsidR="00A95DEF">
        <w:rPr>
          <w:lang w:val="es-ES"/>
        </w:rPr>
        <w:t>CMRE</w:t>
      </w:r>
      <w:r>
        <w:rPr>
          <w:lang w:val="es-ES"/>
        </w:rPr>
        <w:t xml:space="preserve"> que los produjeron.</w:t>
      </w:r>
    </w:p>
    <w:p w14:paraId="1ADD39AF" w14:textId="08BA885E" w:rsidR="003E5D1B" w:rsidRPr="008357EA" w:rsidRDefault="00E26782">
      <w:pPr>
        <w:keepNext/>
        <w:spacing w:before="240" w:after="240" w:line="240" w:lineRule="exact"/>
        <w:ind w:left="1123" w:hanging="1123"/>
        <w:outlineLvl w:val="5"/>
        <w:rPr>
          <w:rFonts w:eastAsiaTheme="minorEastAsia" w:cstheme="majorBidi"/>
          <w:b/>
          <w:bCs/>
          <w:i/>
          <w:iCs/>
          <w:color w:val="000000" w:themeColor="text1"/>
          <w:lang w:val="es-419"/>
        </w:rPr>
      </w:pPr>
      <w:bookmarkStart w:id="125" w:name="_Toc113003317"/>
      <w:bookmarkStart w:id="126" w:name="_Toc113024442"/>
      <w:bookmarkStart w:id="127" w:name="_Toc117501974"/>
      <w:r>
        <w:rPr>
          <w:b/>
          <w:bCs/>
          <w:i/>
          <w:iCs/>
          <w:lang w:val="es-ES"/>
        </w:rPr>
        <w:t>2.3.1.6</w:t>
      </w:r>
      <w:r>
        <w:rPr>
          <w:lang w:val="es-ES"/>
        </w:rPr>
        <w:tab/>
      </w:r>
      <w:r>
        <w:rPr>
          <w:b/>
          <w:bCs/>
          <w:i/>
          <w:iCs/>
          <w:lang w:val="es-ES"/>
        </w:rPr>
        <w:t xml:space="preserve">Predicción numérica a largo plazo a escala mundial y coordinación de </w:t>
      </w:r>
      <w:r w:rsidR="007377E6">
        <w:rPr>
          <w:b/>
          <w:bCs/>
          <w:i/>
          <w:iCs/>
          <w:lang w:val="es-ES"/>
        </w:rPr>
        <w:t>la predicción</w:t>
      </w:r>
      <w:r>
        <w:rPr>
          <w:b/>
          <w:bCs/>
          <w:i/>
          <w:iCs/>
          <w:lang w:val="es-ES"/>
        </w:rPr>
        <w:t xml:space="preserve"> a largo plazo mediante conjuntos multimodelos</w:t>
      </w:r>
      <w:bookmarkEnd w:id="125"/>
      <w:bookmarkEnd w:id="126"/>
      <w:bookmarkEnd w:id="127"/>
    </w:p>
    <w:p w14:paraId="33FABEC0" w14:textId="3A2A8F94" w:rsidR="003E5D1B" w:rsidRPr="008357EA" w:rsidRDefault="00E26782">
      <w:pPr>
        <w:spacing w:after="240" w:line="240" w:lineRule="exact"/>
        <w:rPr>
          <w:rFonts w:eastAsiaTheme="minorEastAsia" w:cstheme="majorBidi"/>
          <w:color w:val="000000" w:themeColor="text1"/>
          <w:lang w:val="es-419"/>
        </w:rPr>
      </w:pPr>
      <w:r>
        <w:rPr>
          <w:lang w:val="es-ES"/>
        </w:rPr>
        <w:t xml:space="preserve">2.3.1.6.1 </w:t>
      </w:r>
      <w:r w:rsidR="00947A8C" w:rsidRPr="00947A8C">
        <w:rPr>
          <w:i/>
          <w:iCs/>
          <w:lang w:val="es-ES"/>
        </w:rPr>
        <w:t>Resumen general de la actividad de los CMRE</w:t>
      </w:r>
      <w:r w:rsidR="00947A8C">
        <w:rPr>
          <w:lang w:val="es-ES"/>
        </w:rPr>
        <w:t xml:space="preserve"> </w:t>
      </w:r>
    </w:p>
    <w:p w14:paraId="35748CDD" w14:textId="77777777" w:rsidR="003E5D1B" w:rsidRPr="008357EA" w:rsidRDefault="00E26782">
      <w:pPr>
        <w:spacing w:after="240" w:line="240" w:lineRule="exact"/>
        <w:rPr>
          <w:rFonts w:eastAsiaTheme="minorEastAsia" w:cstheme="majorBidi"/>
          <w:color w:val="000000" w:themeColor="text1"/>
          <w:lang w:val="es-419"/>
        </w:rPr>
      </w:pPr>
      <w:r>
        <w:rPr>
          <w:lang w:val="es-ES"/>
        </w:rPr>
        <w:t xml:space="preserve">Los centros sobre el clima comenzaron a hacer predicciones numéricas a largo plazo a escala mundial de forma habitual a mediados de los años noventa, ya que esas predicciones son esenciales para diversas actividades. Para que las predicciones numéricas a largo plazo a escala mundial se mantengan operativas se necesita una gran cantidad de recursos. Por lo tanto, se estableció esa actividad con el propósito de poner a disposición de todos los Miembros de la OMM </w:t>
      </w:r>
      <w:r>
        <w:rPr>
          <w:lang w:val="es-ES"/>
        </w:rPr>
        <w:lastRenderedPageBreak/>
        <w:t>los datos y productos de calidad asegurada de la predicción numérica a largo plazo a escala mundial.</w:t>
      </w:r>
    </w:p>
    <w:p w14:paraId="534CCE34" w14:textId="6E0F0E56" w:rsidR="003E5D1B" w:rsidRPr="008357EA" w:rsidRDefault="00E26782">
      <w:pPr>
        <w:spacing w:after="240" w:line="240" w:lineRule="exact"/>
        <w:rPr>
          <w:rFonts w:eastAsia="Calibri" w:cs="Times New Roman"/>
          <w:i/>
          <w:iCs/>
          <w:lang w:val="es-419"/>
        </w:rPr>
      </w:pPr>
      <w:r>
        <w:rPr>
          <w:lang w:val="es-ES"/>
        </w:rPr>
        <w:t xml:space="preserve">Los </w:t>
      </w:r>
      <w:r w:rsidR="00A95DEF">
        <w:rPr>
          <w:lang w:val="es-ES"/>
        </w:rPr>
        <w:t>CMRE</w:t>
      </w:r>
      <w:r>
        <w:rPr>
          <w:lang w:val="es-ES"/>
        </w:rPr>
        <w:t xml:space="preserve"> que hacen predicciones numéricas a largo plazo a escala mundial </w:t>
      </w:r>
      <w:r w:rsidR="00CB0838">
        <w:rPr>
          <w:lang w:val="es-ES"/>
        </w:rPr>
        <w:t>se encargan de elaborar</w:t>
      </w:r>
      <w:r>
        <w:rPr>
          <w:lang w:val="es-ES"/>
        </w:rPr>
        <w:t xml:space="preserve"> campos de predicción a escala mundial de parámetros atmosféricos y oceánicos básicos, generados a partir de sus propios sistemas de predicción numérica a largo plazo a escala mundial, así como </w:t>
      </w:r>
      <w:r w:rsidR="00B4655B">
        <w:rPr>
          <w:lang w:val="es-ES"/>
        </w:rPr>
        <w:t>estadísticas de verificación normalizada y asociada</w:t>
      </w:r>
      <w:r>
        <w:rPr>
          <w:lang w:val="es-ES"/>
        </w:rPr>
        <w:t xml:space="preserve">. </w:t>
      </w:r>
    </w:p>
    <w:p w14:paraId="448F8B83" w14:textId="605EBD1F" w:rsidR="003E5D1B" w:rsidRPr="008357EA" w:rsidRDefault="00E26782">
      <w:pPr>
        <w:spacing w:after="240" w:line="240" w:lineRule="exact"/>
        <w:rPr>
          <w:rFonts w:eastAsiaTheme="minorEastAsia" w:cstheme="majorBidi"/>
          <w:color w:val="000000" w:themeColor="text1"/>
          <w:lang w:val="es-419"/>
        </w:rPr>
      </w:pPr>
      <w:r>
        <w:rPr>
          <w:lang w:val="es-ES"/>
        </w:rPr>
        <w:t xml:space="preserve">i) </w:t>
      </w:r>
      <w:r w:rsidR="00947A8C" w:rsidRPr="00947A8C">
        <w:rPr>
          <w:i/>
          <w:iCs/>
          <w:lang w:val="es-ES"/>
        </w:rPr>
        <w:t>Centros designados y modalidad de trabajo</w:t>
      </w:r>
    </w:p>
    <w:p w14:paraId="51E80CA3" w14:textId="5E255801" w:rsidR="003E5D1B" w:rsidRPr="008357EA" w:rsidRDefault="00E26782">
      <w:pPr>
        <w:spacing w:after="240" w:line="240" w:lineRule="exact"/>
        <w:rPr>
          <w:rFonts w:eastAsia="Verdana" w:cs="Verdana"/>
          <w:i/>
          <w:iCs/>
          <w:color w:val="000000" w:themeColor="text1"/>
          <w:lang w:val="es-419"/>
        </w:rPr>
      </w:pPr>
      <w:r>
        <w:rPr>
          <w:lang w:val="es-ES"/>
        </w:rPr>
        <w:t xml:space="preserve">La lista de los </w:t>
      </w:r>
      <w:r w:rsidR="00A95DEF">
        <w:rPr>
          <w:lang w:val="es-ES"/>
        </w:rPr>
        <w:t>CMRE</w:t>
      </w:r>
      <w:r>
        <w:rPr>
          <w:lang w:val="es-ES"/>
        </w:rPr>
        <w:t xml:space="preserve"> designados para las predicciones numéricas a largo plazo a escala mundial, también conocidos con el nombre de Centro Mundial de Producción de Predicciones a Largo Plazo, figura en la parte III del </w:t>
      </w:r>
      <w:r w:rsidR="00B36420" w:rsidRPr="00B36420">
        <w:rPr>
          <w:i/>
          <w:iCs/>
          <w:lang w:val="es-ES"/>
        </w:rPr>
        <w:t>Manual del GDPFS</w:t>
      </w:r>
      <w:r>
        <w:rPr>
          <w:lang w:val="es-ES"/>
        </w:rPr>
        <w:t xml:space="preserve">. </w:t>
      </w:r>
    </w:p>
    <w:p w14:paraId="4E39A035" w14:textId="51ECDF01" w:rsidR="003E5D1B" w:rsidRPr="008357EA" w:rsidRDefault="00E26782">
      <w:pPr>
        <w:spacing w:after="240" w:line="240" w:lineRule="exact"/>
        <w:rPr>
          <w:rFonts w:eastAsia="Calibri" w:cs="Times New Roman"/>
          <w:b/>
          <w:bCs/>
          <w:lang w:val="es-419"/>
        </w:rPr>
      </w:pPr>
      <w:r>
        <w:rPr>
          <w:lang w:val="es-ES"/>
        </w:rPr>
        <w:t xml:space="preserve">Cada uno de esos centros proporciona datos y productos con cobertura mundial, lo que </w:t>
      </w:r>
      <w:r w:rsidR="00575FB8">
        <w:rPr>
          <w:lang w:val="es-ES"/>
        </w:rPr>
        <w:t>supone</w:t>
      </w:r>
      <w:r>
        <w:rPr>
          <w:lang w:val="es-ES"/>
        </w:rPr>
        <w:t xml:space="preserve"> poner a disposición en su propio sitio web estadísticas de verificación de acuerdo con el Sistema de Verificación Normalizada de Predicciones a Largo Plazo (que se describe en el apéndice 2.2.36 del </w:t>
      </w:r>
      <w:r w:rsidR="00B36420" w:rsidRPr="00B36420">
        <w:rPr>
          <w:i/>
          <w:iCs/>
          <w:lang w:val="es-ES"/>
        </w:rPr>
        <w:t>Manual del GDPFS</w:t>
      </w:r>
      <w:r>
        <w:rPr>
          <w:lang w:val="es-ES"/>
        </w:rPr>
        <w:t xml:space="preserve">), así como información actualizada sobre las características de sus sistemas de predicción numérica a largo plazo a escala mundial. </w:t>
      </w:r>
    </w:p>
    <w:p w14:paraId="13C3E6AD" w14:textId="6E31DF0F" w:rsidR="003E5D1B" w:rsidRPr="008357EA" w:rsidRDefault="003D16BC">
      <w:pPr>
        <w:spacing w:after="240" w:line="240" w:lineRule="exact"/>
        <w:rPr>
          <w:rFonts w:eastAsia="Calibri" w:cs="Times New Roman"/>
          <w:lang w:val="es-419"/>
        </w:rPr>
      </w:pPr>
      <w:r>
        <w:rPr>
          <w:lang w:val="es-ES"/>
        </w:rPr>
        <w:t>El Centro Principal de Predicción a Largo Plazo mediante Conjuntos Multimodelos lleva a cabo la coordinación entre esos centros. Los Centros Mundiales de Producción de Predicciones a Largo Plazo deben enviar datos de predicción a ese Centro Principal para que elabore productos de predicción multimodelos. El Centro Principal se encarga de elaborar y poner a disposición predicciones a largo plazo por conjuntos multimodelos, así como de mantener un archivo digital de datos de predicción y un repositorio de documentos para la configuración de todos los sistemas de modelización de los Centros Mundiales de Producción de Predicciones a Largo Plazo</w:t>
      </w:r>
      <w:r w:rsidR="004B4595">
        <w:rPr>
          <w:lang w:val="es-ES"/>
        </w:rPr>
        <w:t>,</w:t>
      </w:r>
      <w:r>
        <w:rPr>
          <w:lang w:val="es-ES"/>
        </w:rPr>
        <w:t xml:space="preserve"> a fin de que los usuarios puedan comprobar las diferencias técnicas entre los sistemas disponibles, evaluar la calidad de las predicciones y comparar el desempeño de los distintos sistemas de modelización. El Centro Principal promueve las investigaciones y el intercambio de experiencias en técnicas de predicción mediante conjuntos multimodelos, y proporciona orientación y apoyo en relación con esas técnicas a los Centros Mundiales de Producción de Predicciones a Largo Plazo, los CRC y los </w:t>
      </w:r>
      <w:r w:rsidR="006753E1">
        <w:rPr>
          <w:lang w:val="es-ES"/>
        </w:rPr>
        <w:t>CMN</w:t>
      </w:r>
      <w:r>
        <w:rPr>
          <w:lang w:val="es-ES"/>
        </w:rPr>
        <w:t>.</w:t>
      </w:r>
    </w:p>
    <w:p w14:paraId="5D753105" w14:textId="5CE8D46B" w:rsidR="003E5D1B" w:rsidRPr="008357EA" w:rsidRDefault="00E26782">
      <w:pPr>
        <w:spacing w:after="240" w:line="240" w:lineRule="exact"/>
        <w:rPr>
          <w:rFonts w:eastAsiaTheme="minorEastAsia" w:cstheme="majorBidi"/>
          <w:color w:val="000000" w:themeColor="text1"/>
          <w:lang w:val="es-419"/>
        </w:rPr>
      </w:pPr>
      <w:r>
        <w:rPr>
          <w:lang w:val="es-ES"/>
        </w:rPr>
        <w:t xml:space="preserve">ii) </w:t>
      </w:r>
      <w:r w:rsidR="00947A8C" w:rsidRPr="00947A8C">
        <w:rPr>
          <w:i/>
          <w:iCs/>
          <w:lang w:val="es-ES"/>
        </w:rPr>
        <w:t>Qué beneficios pueden obtener los CMN de los CMRE y cómo pueden contribuir con ellos</w:t>
      </w:r>
      <w:r>
        <w:rPr>
          <w:lang w:val="es-ES"/>
        </w:rPr>
        <w:t xml:space="preserve"> </w:t>
      </w:r>
    </w:p>
    <w:p w14:paraId="73E6732A" w14:textId="6D288E1D" w:rsidR="003E5D1B" w:rsidRPr="008357EA" w:rsidRDefault="00E26782">
      <w:pPr>
        <w:spacing w:after="240" w:line="240" w:lineRule="exact"/>
        <w:rPr>
          <w:rFonts w:eastAsia="Calibri" w:cs="Times New Roman"/>
          <w:b/>
          <w:bCs/>
          <w:lang w:val="es-419"/>
        </w:rPr>
      </w:pPr>
      <w:r>
        <w:rPr>
          <w:lang w:val="es-ES"/>
        </w:rPr>
        <w:t xml:space="preserve">Los </w:t>
      </w:r>
      <w:r w:rsidR="006753E1">
        <w:rPr>
          <w:lang w:val="es-ES"/>
        </w:rPr>
        <w:t>CMN</w:t>
      </w:r>
      <w:r>
        <w:rPr>
          <w:lang w:val="es-ES"/>
        </w:rPr>
        <w:t xml:space="preserve"> pueden utilizar el WIS para acceder a los datos y productos que ponen a disposición los </w:t>
      </w:r>
      <w:r w:rsidR="00A95DEF">
        <w:rPr>
          <w:lang w:val="es-ES"/>
        </w:rPr>
        <w:t>CMRE</w:t>
      </w:r>
      <w:r>
        <w:rPr>
          <w:lang w:val="es-ES"/>
        </w:rPr>
        <w:t xml:space="preserve"> que hacen predicciones numéricas a largo plazo a escala mundial. Los metadatos del </w:t>
      </w:r>
      <w:r w:rsidR="001C5219">
        <w:rPr>
          <w:lang w:val="es-ES"/>
        </w:rPr>
        <w:t>WIS</w:t>
      </w:r>
      <w:r>
        <w:rPr>
          <w:lang w:val="es-ES"/>
        </w:rPr>
        <w:t xml:space="preserve"> asociados a cada archivo de datos y productos se obtienen en el </w:t>
      </w:r>
      <w:hyperlink r:id="rId32" w:history="1">
        <w:r w:rsidR="00464890" w:rsidRPr="00464890">
          <w:rPr>
            <w:rStyle w:val="Hyperlink"/>
            <w:lang w:val="es-ES"/>
          </w:rPr>
          <w:t>portal web del GDPFS</w:t>
        </w:r>
      </w:hyperlink>
      <w:r>
        <w:rPr>
          <w:lang w:val="es-ES"/>
        </w:rPr>
        <w:t xml:space="preserve"> seleccionando la predicción numérica a largo plazo a escala mundial en la lista de actividades.</w:t>
      </w:r>
    </w:p>
    <w:p w14:paraId="6ADD171A" w14:textId="0D578C6F" w:rsidR="003E5D1B" w:rsidRPr="008357EA" w:rsidRDefault="00E26782">
      <w:pPr>
        <w:spacing w:after="240" w:line="240" w:lineRule="exact"/>
        <w:rPr>
          <w:rFonts w:eastAsia="Calibri" w:cs="Times New Roman"/>
          <w:b/>
          <w:bCs/>
          <w:lang w:val="es-419"/>
        </w:rPr>
      </w:pPr>
      <w:r>
        <w:rPr>
          <w:lang w:val="es-ES"/>
        </w:rPr>
        <w:t xml:space="preserve">Los </w:t>
      </w:r>
      <w:r w:rsidR="006753E1">
        <w:rPr>
          <w:lang w:val="es-ES"/>
        </w:rPr>
        <w:t>CMN</w:t>
      </w:r>
      <w:r>
        <w:rPr>
          <w:lang w:val="es-ES"/>
        </w:rPr>
        <w:t xml:space="preserve"> pueden contribuir a la actividad de los </w:t>
      </w:r>
      <w:r w:rsidR="00A95DEF">
        <w:rPr>
          <w:lang w:val="es-ES"/>
        </w:rPr>
        <w:t>CMRE</w:t>
      </w:r>
      <w:r>
        <w:rPr>
          <w:lang w:val="es-ES"/>
        </w:rPr>
        <w:t xml:space="preserve"> de las siguientes maneras (enumeración no taxativa): 1) llevando a cabo verificaciones objetivas y proporcionando retroinformación sobre el desempeño de los respectivos modelos en sus países; 2) haciendo estudios de caso sobre fenómenos concretos y transmitiendo esa información a los </w:t>
      </w:r>
      <w:r w:rsidR="00A95DEF">
        <w:rPr>
          <w:lang w:val="es-ES"/>
        </w:rPr>
        <w:t>CMRE</w:t>
      </w:r>
      <w:r>
        <w:rPr>
          <w:lang w:val="es-ES"/>
        </w:rPr>
        <w:t xml:space="preserve">; 3) trabajando con los </w:t>
      </w:r>
      <w:r w:rsidR="00A95DEF">
        <w:rPr>
          <w:lang w:val="es-ES"/>
        </w:rPr>
        <w:t>CMRE</w:t>
      </w:r>
      <w:r>
        <w:rPr>
          <w:lang w:val="es-ES"/>
        </w:rPr>
        <w:t xml:space="preserve"> en avances concretos de los modelos, sobre la base de los resultados de las verificaciones, y 4) proporcionando otros datos observacionales para que se asimilen en los modelos</w:t>
      </w:r>
      <w:r w:rsidR="0038717F">
        <w:rPr>
          <w:lang w:val="es-ES"/>
        </w:rPr>
        <w:t xml:space="preserve">. </w:t>
      </w:r>
    </w:p>
    <w:p w14:paraId="3ECC4299" w14:textId="6515BA74" w:rsidR="003E5D1B" w:rsidRPr="008357EA" w:rsidRDefault="00E26782">
      <w:pPr>
        <w:spacing w:after="240" w:line="240" w:lineRule="exact"/>
        <w:rPr>
          <w:rFonts w:eastAsiaTheme="minorEastAsia" w:cstheme="majorBidi"/>
          <w:color w:val="000000" w:themeColor="text1"/>
          <w:lang w:val="es-419"/>
        </w:rPr>
      </w:pPr>
      <w:r>
        <w:rPr>
          <w:lang w:val="es-ES"/>
        </w:rPr>
        <w:t xml:space="preserve">2.3.1.6.2. </w:t>
      </w:r>
      <w:r w:rsidR="00947A8C" w:rsidRPr="00947A8C">
        <w:rPr>
          <w:i/>
          <w:iCs/>
          <w:lang w:val="es-ES"/>
        </w:rPr>
        <w:t>Esferas de aplicación y servicio que los CMRE podrían respaldar</w:t>
      </w:r>
    </w:p>
    <w:p w14:paraId="3D23AEB1" w14:textId="3A13DAD4" w:rsidR="003E5D1B" w:rsidRPr="008357EA" w:rsidRDefault="00E26782">
      <w:pPr>
        <w:spacing w:after="240" w:line="240" w:lineRule="exact"/>
        <w:rPr>
          <w:rFonts w:eastAsiaTheme="minorEastAsia" w:cstheme="majorBidi"/>
          <w:b/>
          <w:bCs/>
          <w:color w:val="000000" w:themeColor="text1"/>
          <w:lang w:val="es-419"/>
        </w:rPr>
      </w:pPr>
      <w:r>
        <w:rPr>
          <w:lang w:val="es-ES"/>
        </w:rPr>
        <w:t xml:space="preserve">Los productos que ponen a disposición los </w:t>
      </w:r>
      <w:r w:rsidR="00A95DEF">
        <w:rPr>
          <w:lang w:val="es-ES"/>
        </w:rPr>
        <w:t>CMRE</w:t>
      </w:r>
      <w:r>
        <w:rPr>
          <w:lang w:val="es-ES"/>
        </w:rPr>
        <w:t xml:space="preserve"> que hacen predicciones numéricas a largo plazo a escala mundial respaldan muchos tipos de esferas de aplicación y servicio, pero sobre todo las siguientes:</w:t>
      </w:r>
    </w:p>
    <w:p w14:paraId="1CF17E3D" w14:textId="77777777" w:rsidR="003E5D1B" w:rsidRPr="008357EA" w:rsidRDefault="00E26782">
      <w:pPr>
        <w:numPr>
          <w:ilvl w:val="0"/>
          <w:numId w:val="19"/>
        </w:numPr>
        <w:tabs>
          <w:tab w:val="clear" w:pos="1134"/>
          <w:tab w:val="left" w:pos="960"/>
        </w:tabs>
        <w:spacing w:after="240" w:line="240" w:lineRule="exact"/>
        <w:rPr>
          <w:b/>
          <w:bCs/>
          <w:szCs w:val="22"/>
          <w:lang w:val="es-419"/>
        </w:rPr>
      </w:pPr>
      <w:r>
        <w:rPr>
          <w:lang w:val="es-ES"/>
        </w:rPr>
        <w:t>Servicios públicos de predicción del clima</w:t>
      </w:r>
    </w:p>
    <w:p w14:paraId="7784BE00" w14:textId="77777777" w:rsidR="003E5D1B" w:rsidRPr="008357EA" w:rsidRDefault="00E26782">
      <w:pPr>
        <w:numPr>
          <w:ilvl w:val="0"/>
          <w:numId w:val="19"/>
        </w:numPr>
        <w:tabs>
          <w:tab w:val="clear" w:pos="1134"/>
          <w:tab w:val="left" w:pos="960"/>
        </w:tabs>
        <w:spacing w:after="240" w:line="240" w:lineRule="exact"/>
        <w:rPr>
          <w:b/>
          <w:bCs/>
          <w:szCs w:val="22"/>
          <w:lang w:val="es-419"/>
        </w:rPr>
      </w:pPr>
      <w:r>
        <w:rPr>
          <w:lang w:val="es-ES"/>
        </w:rPr>
        <w:t xml:space="preserve">Sistemas de alerta temprana de peligros múltiples </w:t>
      </w:r>
    </w:p>
    <w:p w14:paraId="3A7A1005" w14:textId="77777777" w:rsidR="003E5D1B" w:rsidRPr="008357EA" w:rsidRDefault="00E26782">
      <w:pPr>
        <w:numPr>
          <w:ilvl w:val="0"/>
          <w:numId w:val="19"/>
        </w:numPr>
        <w:tabs>
          <w:tab w:val="clear" w:pos="1134"/>
          <w:tab w:val="left" w:pos="960"/>
        </w:tabs>
        <w:spacing w:after="240" w:line="240" w:lineRule="exact"/>
        <w:rPr>
          <w:b/>
          <w:bCs/>
          <w:szCs w:val="22"/>
          <w:lang w:val="es-419"/>
        </w:rPr>
      </w:pPr>
      <w:r>
        <w:rPr>
          <w:lang w:val="es-ES"/>
        </w:rPr>
        <w:lastRenderedPageBreak/>
        <w:t>Servicios de alerta temprana de riesgos para la salud</w:t>
      </w:r>
    </w:p>
    <w:p w14:paraId="77C559C4" w14:textId="77777777" w:rsidR="003E5D1B" w:rsidRPr="008357EA" w:rsidRDefault="00E26782">
      <w:pPr>
        <w:numPr>
          <w:ilvl w:val="0"/>
          <w:numId w:val="19"/>
        </w:numPr>
        <w:tabs>
          <w:tab w:val="clear" w:pos="1134"/>
          <w:tab w:val="left" w:pos="960"/>
        </w:tabs>
        <w:spacing w:after="240" w:line="240" w:lineRule="exact"/>
        <w:rPr>
          <w:b/>
          <w:bCs/>
          <w:szCs w:val="22"/>
          <w:lang w:val="es-419"/>
        </w:rPr>
      </w:pPr>
      <w:r>
        <w:rPr>
          <w:lang w:val="es-ES"/>
        </w:rPr>
        <w:t>Servicios meteorológicos marinos y aplicaciones oceánicas</w:t>
      </w:r>
    </w:p>
    <w:p w14:paraId="6911BF1E" w14:textId="77777777" w:rsidR="003E5D1B" w:rsidRPr="008357EA" w:rsidRDefault="00E26782">
      <w:pPr>
        <w:numPr>
          <w:ilvl w:val="0"/>
          <w:numId w:val="19"/>
        </w:numPr>
        <w:tabs>
          <w:tab w:val="clear" w:pos="1134"/>
          <w:tab w:val="left" w:pos="960"/>
        </w:tabs>
        <w:spacing w:after="240" w:line="240" w:lineRule="exact"/>
        <w:rPr>
          <w:b/>
          <w:bCs/>
          <w:szCs w:val="22"/>
          <w:lang w:val="es-419"/>
        </w:rPr>
      </w:pPr>
      <w:r>
        <w:rPr>
          <w:lang w:val="es-ES"/>
        </w:rPr>
        <w:t>Servicios de recursos hídricos e hidrológicos</w:t>
      </w:r>
    </w:p>
    <w:p w14:paraId="68DDD91B" w14:textId="77777777" w:rsidR="003E5D1B" w:rsidRDefault="00E26782">
      <w:pPr>
        <w:numPr>
          <w:ilvl w:val="0"/>
          <w:numId w:val="19"/>
        </w:numPr>
        <w:tabs>
          <w:tab w:val="clear" w:pos="1134"/>
          <w:tab w:val="left" w:pos="960"/>
        </w:tabs>
        <w:spacing w:after="240" w:line="240" w:lineRule="exact"/>
        <w:rPr>
          <w:b/>
          <w:bCs/>
          <w:szCs w:val="22"/>
        </w:rPr>
      </w:pPr>
      <w:r>
        <w:rPr>
          <w:lang w:val="es-ES"/>
        </w:rPr>
        <w:t>Servicios de agrometeorología</w:t>
      </w:r>
    </w:p>
    <w:p w14:paraId="21DEE0A3" w14:textId="6C507459" w:rsidR="003E5D1B" w:rsidRPr="008357EA" w:rsidRDefault="00E26782">
      <w:pPr>
        <w:spacing w:after="240" w:line="240" w:lineRule="exact"/>
        <w:rPr>
          <w:rFonts w:eastAsiaTheme="minorEastAsia" w:cstheme="majorBidi"/>
          <w:color w:val="000000" w:themeColor="text1"/>
          <w:lang w:val="es-419"/>
        </w:rPr>
      </w:pPr>
      <w:r>
        <w:rPr>
          <w:lang w:val="es-ES"/>
        </w:rPr>
        <w:t xml:space="preserve">2.3.1.6.3. </w:t>
      </w:r>
      <w:r w:rsidR="008B0C15" w:rsidRPr="008B0C15">
        <w:rPr>
          <w:i/>
          <w:iCs/>
          <w:lang w:val="es-ES"/>
        </w:rPr>
        <w:t>Recomendaciones sobre la integración en el proceso nacional de predicción</w:t>
      </w:r>
    </w:p>
    <w:p w14:paraId="7E5CA268" w14:textId="6371A908" w:rsidR="003E5D1B" w:rsidRPr="008357EA" w:rsidRDefault="00E26782">
      <w:pPr>
        <w:spacing w:after="240" w:line="240" w:lineRule="exact"/>
        <w:rPr>
          <w:rFonts w:eastAsiaTheme="minorEastAsia" w:cstheme="majorBidi"/>
          <w:color w:val="000000" w:themeColor="text1"/>
          <w:lang w:val="es-419"/>
        </w:rPr>
      </w:pPr>
      <w:r>
        <w:rPr>
          <w:lang w:val="es-ES"/>
        </w:rPr>
        <w:t xml:space="preserve">El procedimiento recomendado para hacer predicciones a largo plazo a escala regional y nacional a partir de Centros Mundiales de Producción de Predicciones a Largo Plazo numéricas se establece en el documento </w:t>
      </w:r>
      <w:hyperlink r:id="rId33" w:anchor=".YxXf9y35Qkg" w:history="1">
        <w:r w:rsidRPr="00F42776">
          <w:rPr>
            <w:rStyle w:val="Hyperlink"/>
            <w:i/>
            <w:iCs/>
            <w:lang w:val="es-ES"/>
          </w:rPr>
          <w:t>Guidance on Operational Practices for Objective Seasonal Forecasting</w:t>
        </w:r>
      </w:hyperlink>
      <w:r>
        <w:rPr>
          <w:lang w:val="es-ES"/>
        </w:rPr>
        <w:t xml:space="preserve"> (</w:t>
      </w:r>
      <w:r w:rsidR="00CA1DA5">
        <w:rPr>
          <w:lang w:val="es-ES"/>
        </w:rPr>
        <w:t>WMO-No. </w:t>
      </w:r>
      <w:r>
        <w:rPr>
          <w:lang w:val="es-ES"/>
        </w:rPr>
        <w:t>1246) (Orientaciones sobre prácticas operativas para la predicción estacional objetiva) y se resume a continuación:</w:t>
      </w:r>
    </w:p>
    <w:p w14:paraId="42CF5DC7" w14:textId="7E46AC1B" w:rsidR="003E5D1B" w:rsidRPr="008357EA" w:rsidRDefault="00E26782">
      <w:pPr>
        <w:numPr>
          <w:ilvl w:val="0"/>
          <w:numId w:val="20"/>
        </w:numPr>
        <w:tabs>
          <w:tab w:val="clear" w:pos="1134"/>
          <w:tab w:val="left" w:pos="960"/>
        </w:tabs>
        <w:spacing w:after="240" w:line="240" w:lineRule="exact"/>
        <w:rPr>
          <w:color w:val="000000" w:themeColor="text1"/>
          <w:lang w:val="es-419"/>
        </w:rPr>
      </w:pPr>
      <w:r>
        <w:rPr>
          <w:lang w:val="es-ES"/>
        </w:rPr>
        <w:t xml:space="preserve">PASO 1: Elegir los modelos de los Centros Mundiales de Producción de Predicciones a Largo Plazo de </w:t>
      </w:r>
      <w:r w:rsidR="00392F51">
        <w:rPr>
          <w:lang w:val="es-ES"/>
        </w:rPr>
        <w:t>manera uniforme</w:t>
      </w:r>
      <w:r>
        <w:rPr>
          <w:lang w:val="es-ES"/>
        </w:rPr>
        <w:t xml:space="preserve"> y, si se desea, seleccionar los modelos que se utilizarán en la región.</w:t>
      </w:r>
    </w:p>
    <w:p w14:paraId="284D67A6" w14:textId="395FE983" w:rsidR="003E5D1B" w:rsidRPr="008357EA" w:rsidRDefault="00E26782">
      <w:pPr>
        <w:numPr>
          <w:ilvl w:val="0"/>
          <w:numId w:val="20"/>
        </w:numPr>
        <w:tabs>
          <w:tab w:val="clear" w:pos="1134"/>
          <w:tab w:val="left" w:pos="960"/>
        </w:tabs>
        <w:spacing w:after="240" w:line="240" w:lineRule="exact"/>
        <w:rPr>
          <w:color w:val="000000" w:themeColor="text1"/>
          <w:lang w:val="es-419"/>
        </w:rPr>
      </w:pPr>
      <w:r>
        <w:rPr>
          <w:lang w:val="es-ES"/>
        </w:rPr>
        <w:t>PASO 2: Corregir el sesgo, calibrar y combinar las predicciones utilizando el enfoque multimodelo</w:t>
      </w:r>
      <w:r w:rsidR="00FC3FF1">
        <w:rPr>
          <w:lang w:val="es-ES"/>
        </w:rPr>
        <w:t>s</w:t>
      </w:r>
      <w:r>
        <w:rPr>
          <w:lang w:val="es-ES"/>
        </w:rPr>
        <w:t>, para obtener predicciones a escala regional.</w:t>
      </w:r>
    </w:p>
    <w:p w14:paraId="3C8E024D" w14:textId="5FFDCE2D" w:rsidR="003E5D1B" w:rsidRPr="008357EA" w:rsidRDefault="00E26782">
      <w:pPr>
        <w:numPr>
          <w:ilvl w:val="0"/>
          <w:numId w:val="20"/>
        </w:numPr>
        <w:tabs>
          <w:tab w:val="clear" w:pos="1134"/>
          <w:tab w:val="left" w:pos="960"/>
        </w:tabs>
        <w:spacing w:after="240" w:line="240" w:lineRule="exact"/>
        <w:rPr>
          <w:color w:val="000000" w:themeColor="text1"/>
          <w:lang w:val="es-419"/>
        </w:rPr>
      </w:pPr>
      <w:r>
        <w:rPr>
          <w:lang w:val="es-ES"/>
        </w:rPr>
        <w:t xml:space="preserve">PASO 3: Las predicciones a escala regional pueden reducirse </w:t>
      </w:r>
      <w:r w:rsidR="00B04A7A">
        <w:rPr>
          <w:lang w:val="es-ES"/>
        </w:rPr>
        <w:t xml:space="preserve">luego </w:t>
      </w:r>
      <w:r>
        <w:rPr>
          <w:lang w:val="es-ES"/>
        </w:rPr>
        <w:t>a escala local.</w:t>
      </w:r>
    </w:p>
    <w:p w14:paraId="2EFB2A40" w14:textId="77777777" w:rsidR="003E5D1B" w:rsidRPr="008357EA" w:rsidRDefault="003E5D1B">
      <w:pPr>
        <w:spacing w:after="240" w:line="276" w:lineRule="auto"/>
        <w:rPr>
          <w:rFonts w:eastAsia="Calibri" w:cs="Times New Roman"/>
          <w:lang w:val="es-419" w:eastAsia="zh-TW"/>
        </w:rPr>
      </w:pPr>
    </w:p>
    <w:p w14:paraId="7490B0C3" w14:textId="77777777" w:rsidR="003E5D1B" w:rsidRDefault="00E26782">
      <w:pPr>
        <w:spacing w:after="240" w:line="276" w:lineRule="auto"/>
        <w:rPr>
          <w:rFonts w:eastAsia="Calibri" w:cs="Times New Roman"/>
          <w:lang w:eastAsia="zh-TW"/>
        </w:rPr>
      </w:pPr>
      <w:r>
        <w:rPr>
          <w:rFonts w:eastAsiaTheme="minorEastAsia" w:cstheme="majorBidi"/>
          <w:b/>
          <w:bCs/>
          <w:noProof/>
          <w:color w:val="7F7F7F" w:themeColor="text1" w:themeTint="80"/>
          <w:lang w:eastAsia="zh-TW"/>
        </w:rPr>
        <w:drawing>
          <wp:inline distT="0" distB="0" distL="0" distR="0" wp14:anchorId="6AF9899C" wp14:editId="02211133">
            <wp:extent cx="5048193" cy="2640841"/>
            <wp:effectExtent l="0" t="0" r="635" b="7620"/>
            <wp:docPr id="18" name="Imagem 16"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6" descr="Diagrama&#10;&#10;Descrição gerada automaticamente"/>
                    <pic:cNvPicPr/>
                  </pic:nvPicPr>
                  <pic:blipFill rotWithShape="1">
                    <a:blip r:embed="rId34"/>
                    <a:srcRect l="28589" t="30516" r="7507" b="10022"/>
                    <a:stretch/>
                  </pic:blipFill>
                  <pic:spPr bwMode="auto">
                    <a:xfrm>
                      <a:off x="0" y="0"/>
                      <a:ext cx="5059143" cy="2646569"/>
                    </a:xfrm>
                    <a:prstGeom prst="rect">
                      <a:avLst/>
                    </a:prstGeom>
                    <a:ln>
                      <a:noFill/>
                    </a:ln>
                    <a:extLst>
                      <a:ext uri="{53640926-AAD7-44D8-BBD7-CCE9431645EC}">
                        <a14:shadowObscured xmlns:a14="http://schemas.microsoft.com/office/drawing/2010/main"/>
                      </a:ext>
                    </a:extLst>
                  </pic:spPr>
                </pic:pic>
              </a:graphicData>
            </a:graphic>
          </wp:inline>
        </w:drawing>
      </w:r>
    </w:p>
    <w:p w14:paraId="6DDA2F09" w14:textId="6FABE993" w:rsidR="003E5D1B" w:rsidRPr="008357EA" w:rsidRDefault="00E26782">
      <w:pPr>
        <w:spacing w:after="240" w:line="240" w:lineRule="exact"/>
        <w:rPr>
          <w:rFonts w:eastAsiaTheme="minorEastAsia" w:cstheme="majorBidi"/>
          <w:color w:val="000000" w:themeColor="text1"/>
          <w:lang w:val="es-419"/>
        </w:rPr>
      </w:pPr>
      <w:r>
        <w:rPr>
          <w:lang w:val="es-ES"/>
        </w:rPr>
        <w:t>2.3.1.6.4</w:t>
      </w:r>
      <w:r w:rsidR="0038717F">
        <w:rPr>
          <w:lang w:val="es-ES"/>
        </w:rPr>
        <w:t xml:space="preserve">. </w:t>
      </w:r>
      <w:r w:rsidR="00947A8C" w:rsidRPr="00947A8C">
        <w:rPr>
          <w:i/>
          <w:iCs/>
          <w:lang w:val="es-ES"/>
        </w:rPr>
        <w:t>Mecanismo de retroinformación sobre la utilidad y exactitud de los productos</w:t>
      </w:r>
    </w:p>
    <w:p w14:paraId="664B5265" w14:textId="7F6B2C81" w:rsidR="003E5D1B" w:rsidRPr="008357EA" w:rsidRDefault="00E26782">
      <w:pPr>
        <w:spacing w:after="240" w:line="240" w:lineRule="exact"/>
        <w:rPr>
          <w:rFonts w:eastAsiaTheme="minorEastAsia" w:cstheme="majorBidi"/>
          <w:color w:val="000000" w:themeColor="text1"/>
          <w:lang w:val="es-419"/>
        </w:rPr>
      </w:pPr>
      <w:r>
        <w:rPr>
          <w:lang w:val="es-ES"/>
        </w:rPr>
        <w:t xml:space="preserve">Se anima a los </w:t>
      </w:r>
      <w:r w:rsidR="006753E1">
        <w:rPr>
          <w:lang w:val="es-ES"/>
        </w:rPr>
        <w:t>CMN</w:t>
      </w:r>
      <w:r>
        <w:rPr>
          <w:lang w:val="es-ES"/>
        </w:rPr>
        <w:t xml:space="preserve"> a verificar los productos de predicción numérica a largo plazo a escala mundial utilizando los procedimientos normalizados de verificación que se definen en el apéndice 2.2.36 del </w:t>
      </w:r>
      <w:r w:rsidR="00B36420" w:rsidRPr="00B36420">
        <w:rPr>
          <w:i/>
          <w:iCs/>
          <w:lang w:val="es-ES"/>
        </w:rPr>
        <w:t>Manual del GDPFS</w:t>
      </w:r>
      <w:r>
        <w:rPr>
          <w:lang w:val="es-ES"/>
        </w:rPr>
        <w:t xml:space="preserve">, y a poner los resultados de la verificación a disposición de los </w:t>
      </w:r>
      <w:r w:rsidR="00A95DEF">
        <w:rPr>
          <w:lang w:val="es-ES"/>
        </w:rPr>
        <w:t>CMRE</w:t>
      </w:r>
      <w:r>
        <w:rPr>
          <w:lang w:val="es-ES"/>
        </w:rPr>
        <w:t xml:space="preserve"> que los produjeron.</w:t>
      </w:r>
    </w:p>
    <w:p w14:paraId="72A4DCB5" w14:textId="746652AC" w:rsidR="003E5D1B" w:rsidRPr="008357EA" w:rsidRDefault="00E26782">
      <w:pPr>
        <w:keepNext/>
        <w:spacing w:before="240" w:after="240" w:line="240" w:lineRule="exact"/>
        <w:ind w:left="1123" w:hanging="1123"/>
        <w:outlineLvl w:val="5"/>
        <w:rPr>
          <w:rFonts w:eastAsiaTheme="minorEastAsia" w:cstheme="majorBidi"/>
          <w:b/>
          <w:bCs/>
          <w:i/>
          <w:iCs/>
          <w:color w:val="000000" w:themeColor="text1"/>
          <w:lang w:val="es-419"/>
        </w:rPr>
      </w:pPr>
      <w:bookmarkStart w:id="128" w:name="_Toc113003318"/>
      <w:bookmarkStart w:id="129" w:name="_Toc113024443"/>
      <w:bookmarkStart w:id="130" w:name="_Toc117501975"/>
      <w:r>
        <w:rPr>
          <w:b/>
          <w:bCs/>
          <w:i/>
          <w:iCs/>
          <w:lang w:val="es-ES"/>
        </w:rPr>
        <w:t>2.3.1.7</w:t>
      </w:r>
      <w:r>
        <w:rPr>
          <w:lang w:val="es-ES"/>
        </w:rPr>
        <w:tab/>
      </w:r>
      <w:r>
        <w:rPr>
          <w:b/>
          <w:bCs/>
          <w:i/>
          <w:iCs/>
          <w:lang w:val="es-ES"/>
        </w:rPr>
        <w:t>Predicción climática anual a decenal</w:t>
      </w:r>
      <w:bookmarkEnd w:id="124"/>
      <w:bookmarkEnd w:id="128"/>
      <w:bookmarkEnd w:id="129"/>
      <w:bookmarkEnd w:id="130"/>
    </w:p>
    <w:p w14:paraId="39B3FACC" w14:textId="6EF69FBB" w:rsidR="003E5D1B" w:rsidRPr="008357EA" w:rsidRDefault="00E26782">
      <w:pPr>
        <w:spacing w:after="240" w:line="240" w:lineRule="exact"/>
        <w:rPr>
          <w:rFonts w:eastAsiaTheme="minorEastAsia" w:cstheme="majorBidi"/>
          <w:color w:val="000000" w:themeColor="text1"/>
          <w:lang w:val="es-419"/>
        </w:rPr>
      </w:pPr>
      <w:r>
        <w:rPr>
          <w:lang w:val="es-ES"/>
        </w:rPr>
        <w:t xml:space="preserve">2.3.1.7.1 </w:t>
      </w:r>
      <w:r w:rsidR="00947A8C" w:rsidRPr="00947A8C">
        <w:rPr>
          <w:i/>
          <w:iCs/>
          <w:lang w:val="es-ES"/>
        </w:rPr>
        <w:t>Resumen general de la actividad de los CMRE</w:t>
      </w:r>
      <w:r w:rsidR="00947A8C">
        <w:rPr>
          <w:lang w:val="es-ES"/>
        </w:rPr>
        <w:t xml:space="preserve"> </w:t>
      </w:r>
    </w:p>
    <w:p w14:paraId="48A94571" w14:textId="179474DD" w:rsidR="003E5D1B" w:rsidRPr="008357EA" w:rsidRDefault="00E26782">
      <w:pPr>
        <w:spacing w:after="240" w:line="240" w:lineRule="exact"/>
        <w:rPr>
          <w:rFonts w:eastAsiaTheme="minorEastAsia" w:cstheme="majorBidi"/>
          <w:b/>
          <w:bCs/>
          <w:color w:val="000000" w:themeColor="text1"/>
          <w:lang w:val="es-419"/>
        </w:rPr>
      </w:pPr>
      <w:r>
        <w:rPr>
          <w:lang w:val="es-ES"/>
        </w:rPr>
        <w:lastRenderedPageBreak/>
        <w:t xml:space="preserve">El cambio climático ya está planteando dificultades nuevas y mayores a las personas, las economías y los ecosistemas de todo el mundo. A largo plazo, es necesario mitigar las emisiones de gases de efecto invernadero para evitar sus peores efectos, pero también hay que prepararse para las consecuencias climáticas ya inevitables que se producirán en los próximos años. Ese reto coincide con la aparición, en el último decenio, de nuevas capacidades de modelización del clima que salvan la distancia entre las predicciones a largo plazo y las proyecciones climáticas. En consecuencia, en la 70ª reunión del </w:t>
      </w:r>
      <w:r w:rsidR="00F81A61">
        <w:rPr>
          <w:lang w:val="es-ES"/>
        </w:rPr>
        <w:t>Consejo Ejecutivo</w:t>
      </w:r>
      <w:r>
        <w:rPr>
          <w:lang w:val="es-ES"/>
        </w:rPr>
        <w:t xml:space="preserve"> (2018) se introdujeron modificaciones en el </w:t>
      </w:r>
      <w:r w:rsidR="00B36420" w:rsidRPr="00B36420">
        <w:rPr>
          <w:i/>
          <w:iCs/>
          <w:lang w:val="es-ES"/>
        </w:rPr>
        <w:t>Manual del GDPFS</w:t>
      </w:r>
      <w:r>
        <w:rPr>
          <w:lang w:val="es-ES"/>
        </w:rPr>
        <w:t xml:space="preserve"> a los efectos de que se pudieran crear </w:t>
      </w:r>
      <w:r w:rsidR="00A95DEF">
        <w:rPr>
          <w:lang w:val="es-ES"/>
        </w:rPr>
        <w:t>CMRE</w:t>
      </w:r>
      <w:r>
        <w:rPr>
          <w:lang w:val="es-ES"/>
        </w:rPr>
        <w:t xml:space="preserve"> para la predicción climática anual a decenal. Eso proporciona un marco para </w:t>
      </w:r>
      <w:r w:rsidR="00732A26">
        <w:rPr>
          <w:lang w:val="es-ES"/>
        </w:rPr>
        <w:t>elaborar</w:t>
      </w:r>
      <w:r>
        <w:rPr>
          <w:lang w:val="es-ES"/>
        </w:rPr>
        <w:t xml:space="preserve"> y difundir predicciones climáticas a escala mundial </w:t>
      </w:r>
      <w:r w:rsidR="00210F0B">
        <w:rPr>
          <w:lang w:val="es-ES"/>
        </w:rPr>
        <w:t>con una antelación de</w:t>
      </w:r>
      <w:r>
        <w:rPr>
          <w:lang w:val="es-ES"/>
        </w:rPr>
        <w:t xml:space="preserve"> </w:t>
      </w:r>
      <w:r w:rsidR="00E3030C">
        <w:rPr>
          <w:lang w:val="es-ES"/>
        </w:rPr>
        <w:t>uno</w:t>
      </w:r>
      <w:r>
        <w:rPr>
          <w:lang w:val="es-ES"/>
        </w:rPr>
        <w:t xml:space="preserve"> a </w:t>
      </w:r>
      <w:r w:rsidR="00E3030C">
        <w:rPr>
          <w:lang w:val="es-ES"/>
        </w:rPr>
        <w:t>cinco</w:t>
      </w:r>
      <w:r>
        <w:rPr>
          <w:lang w:val="es-ES"/>
        </w:rPr>
        <w:t xml:space="preserve"> años. </w:t>
      </w:r>
    </w:p>
    <w:p w14:paraId="20D9D805" w14:textId="29C0CD24" w:rsidR="003E5D1B" w:rsidRPr="008357EA" w:rsidRDefault="00E26782">
      <w:pPr>
        <w:spacing w:after="240" w:line="240" w:lineRule="exact"/>
        <w:rPr>
          <w:rFonts w:eastAsiaTheme="minorEastAsia" w:cstheme="majorBidi"/>
          <w:color w:val="000000" w:themeColor="text1"/>
          <w:lang w:val="es-419"/>
        </w:rPr>
      </w:pPr>
      <w:r>
        <w:rPr>
          <w:lang w:val="es-ES"/>
        </w:rPr>
        <w:t xml:space="preserve">i) </w:t>
      </w:r>
      <w:r w:rsidR="00947A8C" w:rsidRPr="00947A8C">
        <w:rPr>
          <w:i/>
          <w:iCs/>
          <w:lang w:val="es-ES"/>
        </w:rPr>
        <w:t>Centros designados y modalidad de trabajo</w:t>
      </w:r>
    </w:p>
    <w:p w14:paraId="6040F4BB" w14:textId="0F9FE10F" w:rsidR="003E5D1B" w:rsidRPr="008357EA" w:rsidRDefault="00E26782">
      <w:pPr>
        <w:spacing w:after="240" w:line="240" w:lineRule="exact"/>
        <w:rPr>
          <w:rFonts w:eastAsia="Verdana" w:cs="Verdana"/>
          <w:i/>
          <w:iCs/>
          <w:color w:val="000000" w:themeColor="text1"/>
          <w:lang w:val="es-419"/>
        </w:rPr>
      </w:pPr>
      <w:r>
        <w:rPr>
          <w:lang w:val="es-ES"/>
        </w:rPr>
        <w:t xml:space="preserve">La lista de los </w:t>
      </w:r>
      <w:r w:rsidR="00A95DEF">
        <w:rPr>
          <w:lang w:val="es-ES"/>
        </w:rPr>
        <w:t>CMRE</w:t>
      </w:r>
      <w:r>
        <w:rPr>
          <w:lang w:val="es-ES"/>
        </w:rPr>
        <w:t xml:space="preserve"> designados para la predicción climática anual a decenal figura en la parte III del </w:t>
      </w:r>
      <w:r w:rsidR="00B36420" w:rsidRPr="00B36420">
        <w:rPr>
          <w:i/>
          <w:iCs/>
          <w:lang w:val="es-ES"/>
        </w:rPr>
        <w:t>Manual del GDPFS</w:t>
      </w:r>
      <w:r>
        <w:rPr>
          <w:lang w:val="es-ES"/>
        </w:rPr>
        <w:t xml:space="preserve">. </w:t>
      </w:r>
    </w:p>
    <w:p w14:paraId="36F99DA0" w14:textId="3E1889AC" w:rsidR="003E5D1B" w:rsidRPr="008357EA" w:rsidRDefault="00E26782">
      <w:pPr>
        <w:spacing w:after="240" w:line="240" w:lineRule="exact"/>
        <w:rPr>
          <w:rFonts w:eastAsia="Calibri" w:cs="Times New Roman"/>
          <w:b/>
          <w:bCs/>
          <w:lang w:val="es-419"/>
        </w:rPr>
      </w:pPr>
      <w:r>
        <w:rPr>
          <w:lang w:val="es-ES"/>
        </w:rPr>
        <w:t xml:space="preserve">En lo que atañe a esos centros designados, se hace una distinción entre los Centros Mundiales de Producción de Predicciones Climáticas Anuales a Decenales y los Centros Principales de Predicción Climática Anual a Decenal. Entre las funciones obligatorias que los </w:t>
      </w:r>
      <w:r w:rsidR="00E3030C">
        <w:rPr>
          <w:lang w:val="es-ES"/>
        </w:rPr>
        <w:t xml:space="preserve">primeros </w:t>
      </w:r>
      <w:r>
        <w:rPr>
          <w:lang w:val="es-ES"/>
        </w:rPr>
        <w:t xml:space="preserve">deben desempeñar se encuentra la de </w:t>
      </w:r>
      <w:r w:rsidR="00E3030C">
        <w:rPr>
          <w:lang w:val="es-ES"/>
        </w:rPr>
        <w:t>elaborar</w:t>
      </w:r>
      <w:r>
        <w:rPr>
          <w:lang w:val="es-ES"/>
        </w:rPr>
        <w:t xml:space="preserve"> y suministrar una vez al año un conjunto de predicciones climáticas inicializadas </w:t>
      </w:r>
      <w:r w:rsidR="00E3030C">
        <w:rPr>
          <w:lang w:val="es-ES"/>
        </w:rPr>
        <w:t>relativas a</w:t>
      </w:r>
      <w:r>
        <w:rPr>
          <w:lang w:val="es-ES"/>
        </w:rPr>
        <w:t xml:space="preserve"> los cinco años siguientes. Entre las funciones de los </w:t>
      </w:r>
      <w:r w:rsidR="00E3030C">
        <w:rPr>
          <w:lang w:val="es-ES"/>
        </w:rPr>
        <w:t xml:space="preserve">segundos </w:t>
      </w:r>
      <w:r>
        <w:rPr>
          <w:lang w:val="es-ES"/>
        </w:rPr>
        <w:t xml:space="preserve">se encuentran la de cotejar esas predicciones, crear productos multimodelos y proporcionar los resultados gráficos (incluida la verificación) y los datos a los usuarios registrados (como los SMHN y los CRC). Además, </w:t>
      </w:r>
      <w:r w:rsidR="00017A30">
        <w:rPr>
          <w:lang w:val="es-ES"/>
        </w:rPr>
        <w:t>los</w:t>
      </w:r>
      <w:r>
        <w:rPr>
          <w:lang w:val="es-ES"/>
        </w:rPr>
        <w:t xml:space="preserve"> Centros Principales pueden invitar a contribuir de manera informal a los centros que realizan predicciones climáticas anuales a decenales con fines de investigación. Una vez al año, los Centros Principales publican un boletín sobre el clima mundial anual a decenal en nombre de todos los centros designados para la predicción climática anual a decenal. En ese boletín, titulado </w:t>
      </w:r>
      <w:r>
        <w:rPr>
          <w:i/>
          <w:iCs/>
          <w:lang w:val="es-ES"/>
        </w:rPr>
        <w:t>Global Annual to Decadal Climate Update</w:t>
      </w:r>
      <w:r w:rsidR="0021549C">
        <w:rPr>
          <w:i/>
          <w:iCs/>
          <w:lang w:val="es-ES"/>
        </w:rPr>
        <w:t xml:space="preserve"> </w:t>
      </w:r>
      <w:r w:rsidR="0021549C" w:rsidRPr="0021549C">
        <w:rPr>
          <w:i/>
          <w:iCs/>
          <w:lang w:val="es-419"/>
        </w:rPr>
        <w:t>(GADCU)</w:t>
      </w:r>
      <w:r>
        <w:rPr>
          <w:lang w:val="es-ES"/>
        </w:rPr>
        <w:t xml:space="preserve"> se destacan los aspectos más importantes del último conjunto de predicciones. El boletín se distribuye y se divulga ampliamente dentro y fuera de la OMM. </w:t>
      </w:r>
    </w:p>
    <w:p w14:paraId="2120C7FC" w14:textId="456CF8C9" w:rsidR="003E5D1B" w:rsidRPr="008357EA" w:rsidRDefault="00E26782">
      <w:pPr>
        <w:spacing w:after="240" w:line="240" w:lineRule="exact"/>
        <w:rPr>
          <w:rFonts w:eastAsiaTheme="minorEastAsia" w:cstheme="majorBidi"/>
          <w:color w:val="000000" w:themeColor="text1"/>
          <w:lang w:val="es-419"/>
        </w:rPr>
      </w:pPr>
      <w:r>
        <w:rPr>
          <w:lang w:val="es-ES"/>
        </w:rPr>
        <w:t xml:space="preserve">ii) </w:t>
      </w:r>
      <w:r w:rsidR="00947A8C" w:rsidRPr="00947A8C">
        <w:rPr>
          <w:i/>
          <w:iCs/>
          <w:lang w:val="es-ES"/>
        </w:rPr>
        <w:t>Qué beneficios pueden obtener los CMN de los CMRE y cómo pueden contribuir con ellos</w:t>
      </w:r>
      <w:r>
        <w:rPr>
          <w:lang w:val="es-ES"/>
        </w:rPr>
        <w:t xml:space="preserve"> </w:t>
      </w:r>
    </w:p>
    <w:p w14:paraId="01A4E59E" w14:textId="588BB807" w:rsidR="003E5D1B" w:rsidRPr="008357EA" w:rsidRDefault="00E26782">
      <w:pPr>
        <w:spacing w:after="240" w:line="240" w:lineRule="exact"/>
        <w:rPr>
          <w:rFonts w:eastAsia="Calibri" w:cs="Times New Roman"/>
          <w:b/>
          <w:bCs/>
          <w:lang w:val="es-419"/>
        </w:rPr>
      </w:pPr>
      <w:r>
        <w:rPr>
          <w:lang w:val="es-ES"/>
        </w:rPr>
        <w:t xml:space="preserve">Los órganos de la OMM, incluidos los SMHN y los CRC, pueden acceder a los productos gráficos y a los datos de los modelos desde el </w:t>
      </w:r>
      <w:hyperlink r:id="rId35" w:history="1">
        <w:r w:rsidRPr="003B7822">
          <w:rPr>
            <w:rStyle w:val="Hyperlink"/>
            <w:lang w:val="es-ES"/>
          </w:rPr>
          <w:t>sitio web del Centro Principal de Predicción Climática Anual a Decenal</w:t>
        </w:r>
      </w:hyperlink>
      <w:r>
        <w:rPr>
          <w:lang w:val="es-ES"/>
        </w:rPr>
        <w:t xml:space="preserve">. El acceso a los datos de los modelos está protegido por contraseña. Los </w:t>
      </w:r>
      <w:r w:rsidR="00C80FA5">
        <w:rPr>
          <w:lang w:val="es-ES"/>
        </w:rPr>
        <w:t xml:space="preserve">SMHN </w:t>
      </w:r>
      <w:r>
        <w:rPr>
          <w:lang w:val="es-ES"/>
        </w:rPr>
        <w:t>también pueden obtener beneficios al recibir el boletín sobre el clima mundial anual a decenal, que se publica en mayo de cada año y en el que se analizan los aspectos más destacados de las predicciones correspondientes a ese año y a los cinco años siguientes</w:t>
      </w:r>
      <w:r w:rsidR="0038717F">
        <w:rPr>
          <w:lang w:val="es-ES"/>
        </w:rPr>
        <w:t xml:space="preserve">. </w:t>
      </w:r>
    </w:p>
    <w:p w14:paraId="2E09946C" w14:textId="78A5FA9A" w:rsidR="003E5D1B" w:rsidRPr="008357EA" w:rsidRDefault="00E26782">
      <w:pPr>
        <w:spacing w:after="240" w:line="240" w:lineRule="exact"/>
        <w:rPr>
          <w:rFonts w:eastAsia="Calibri" w:cs="Times New Roman"/>
          <w:b/>
          <w:bCs/>
          <w:lang w:val="es-419"/>
        </w:rPr>
      </w:pPr>
      <w:r>
        <w:rPr>
          <w:lang w:val="es-ES"/>
        </w:rPr>
        <w:t xml:space="preserve">Los </w:t>
      </w:r>
      <w:r w:rsidR="006753E1">
        <w:rPr>
          <w:lang w:val="es-ES"/>
        </w:rPr>
        <w:t>CMN</w:t>
      </w:r>
      <w:r>
        <w:rPr>
          <w:lang w:val="es-ES"/>
        </w:rPr>
        <w:t xml:space="preserve"> pueden contribuir </w:t>
      </w:r>
      <w:r w:rsidR="005F1F64">
        <w:rPr>
          <w:lang w:val="es-ES"/>
        </w:rPr>
        <w:t>haciendo llegar consultas y retroinformación a</w:t>
      </w:r>
      <w:r>
        <w:rPr>
          <w:lang w:val="es-ES"/>
        </w:rPr>
        <w:t xml:space="preserve"> los Centros Principales de Predicción Climática Anual a Decenal. Los SMHN con capacidad de modelización del clima son capaces de </w:t>
      </w:r>
      <w:r w:rsidR="005F1F64">
        <w:rPr>
          <w:lang w:val="es-ES"/>
        </w:rPr>
        <w:t>desarrollar</w:t>
      </w:r>
      <w:r>
        <w:rPr>
          <w:lang w:val="es-ES"/>
        </w:rPr>
        <w:t xml:space="preserve"> y aportar predicciones climáticas anuales a decenales</w:t>
      </w:r>
      <w:r w:rsidR="0038717F">
        <w:rPr>
          <w:lang w:val="es-ES"/>
        </w:rPr>
        <w:t xml:space="preserve">. </w:t>
      </w:r>
    </w:p>
    <w:p w14:paraId="408FCBA7" w14:textId="24EB72D5" w:rsidR="003E5D1B" w:rsidRPr="008357EA" w:rsidRDefault="00E26782">
      <w:pPr>
        <w:spacing w:after="240" w:line="240" w:lineRule="exact"/>
        <w:rPr>
          <w:rFonts w:eastAsiaTheme="minorEastAsia" w:cstheme="majorBidi"/>
          <w:color w:val="000000" w:themeColor="text1"/>
          <w:lang w:val="es-419"/>
        </w:rPr>
      </w:pPr>
      <w:r>
        <w:rPr>
          <w:lang w:val="es-ES"/>
        </w:rPr>
        <w:t xml:space="preserve">2.3.1.7.2. </w:t>
      </w:r>
      <w:r w:rsidR="00947A8C" w:rsidRPr="00947A8C">
        <w:rPr>
          <w:i/>
          <w:iCs/>
          <w:lang w:val="es-ES"/>
        </w:rPr>
        <w:t>Esferas de aplicación y servicio que los CMRE podrían respaldar</w:t>
      </w:r>
    </w:p>
    <w:p w14:paraId="67849188" w14:textId="4CEBE2A7" w:rsidR="003E5D1B" w:rsidRPr="008357EA" w:rsidRDefault="00E26782">
      <w:pPr>
        <w:spacing w:after="240" w:line="240" w:lineRule="exact"/>
        <w:rPr>
          <w:rFonts w:eastAsiaTheme="minorEastAsia" w:cstheme="majorBidi"/>
          <w:b/>
          <w:bCs/>
          <w:color w:val="000000" w:themeColor="text1"/>
          <w:lang w:val="es-419"/>
        </w:rPr>
      </w:pPr>
      <w:r>
        <w:rPr>
          <w:lang w:val="es-ES"/>
        </w:rPr>
        <w:t xml:space="preserve">Los productos que ponen a disposición los </w:t>
      </w:r>
      <w:r w:rsidR="00A95DEF">
        <w:rPr>
          <w:lang w:val="es-ES"/>
        </w:rPr>
        <w:t>CMRE</w:t>
      </w:r>
      <w:r>
        <w:rPr>
          <w:lang w:val="es-ES"/>
        </w:rPr>
        <w:t xml:space="preserve"> que hacen predicciones climáticas anuales a decenales podrían respaldar muchos tipos de esferas de aplicación y servicio, pero sobre todo las siguientes:</w:t>
      </w:r>
    </w:p>
    <w:p w14:paraId="63CFF80E" w14:textId="2D352FE5" w:rsidR="003E5D1B" w:rsidRPr="008357EA" w:rsidRDefault="00E26782">
      <w:pPr>
        <w:numPr>
          <w:ilvl w:val="0"/>
          <w:numId w:val="21"/>
        </w:numPr>
        <w:tabs>
          <w:tab w:val="clear" w:pos="1134"/>
          <w:tab w:val="left" w:pos="960"/>
        </w:tabs>
        <w:spacing w:after="240" w:line="240" w:lineRule="exact"/>
        <w:rPr>
          <w:color w:val="000000" w:themeColor="text1"/>
          <w:lang w:val="es-419"/>
        </w:rPr>
      </w:pPr>
      <w:r>
        <w:rPr>
          <w:lang w:val="es-ES"/>
        </w:rPr>
        <w:t>Monitoreo del clima y del cambio climático</w:t>
      </w:r>
      <w:r w:rsidR="004F6F84">
        <w:rPr>
          <w:lang w:val="es-ES"/>
        </w:rPr>
        <w:t xml:space="preserve"> </w:t>
      </w:r>
    </w:p>
    <w:p w14:paraId="3C6C0F45" w14:textId="77777777" w:rsidR="003E5D1B" w:rsidRDefault="00E26782">
      <w:pPr>
        <w:numPr>
          <w:ilvl w:val="0"/>
          <w:numId w:val="21"/>
        </w:numPr>
        <w:tabs>
          <w:tab w:val="clear" w:pos="1134"/>
          <w:tab w:val="left" w:pos="960"/>
        </w:tabs>
        <w:spacing w:after="240" w:line="240" w:lineRule="exact"/>
        <w:rPr>
          <w:b/>
          <w:bCs/>
          <w:szCs w:val="22"/>
        </w:rPr>
      </w:pPr>
      <w:r>
        <w:rPr>
          <w:lang w:val="es-ES"/>
        </w:rPr>
        <w:t>Aplicaciones forestales y agrícolas</w:t>
      </w:r>
    </w:p>
    <w:p w14:paraId="1892B045" w14:textId="77777777" w:rsidR="003E5D1B" w:rsidRDefault="00E26782">
      <w:pPr>
        <w:numPr>
          <w:ilvl w:val="0"/>
          <w:numId w:val="21"/>
        </w:numPr>
        <w:tabs>
          <w:tab w:val="clear" w:pos="1134"/>
          <w:tab w:val="left" w:pos="960"/>
        </w:tabs>
        <w:spacing w:after="240" w:line="240" w:lineRule="exact"/>
        <w:rPr>
          <w:b/>
          <w:bCs/>
          <w:szCs w:val="22"/>
        </w:rPr>
      </w:pPr>
      <w:r>
        <w:rPr>
          <w:lang w:val="es-ES"/>
        </w:rPr>
        <w:t xml:space="preserve">Operaciones de ayuda y socorro </w:t>
      </w:r>
    </w:p>
    <w:p w14:paraId="4E81179D" w14:textId="77777777" w:rsidR="003E5D1B" w:rsidRPr="008357EA" w:rsidRDefault="00E26782">
      <w:pPr>
        <w:numPr>
          <w:ilvl w:val="0"/>
          <w:numId w:val="21"/>
        </w:numPr>
        <w:tabs>
          <w:tab w:val="clear" w:pos="1134"/>
          <w:tab w:val="left" w:pos="960"/>
        </w:tabs>
        <w:spacing w:after="240" w:line="240" w:lineRule="exact"/>
        <w:rPr>
          <w:b/>
          <w:bCs/>
          <w:szCs w:val="22"/>
          <w:lang w:val="es-419"/>
        </w:rPr>
      </w:pPr>
      <w:r>
        <w:rPr>
          <w:lang w:val="es-ES"/>
        </w:rPr>
        <w:t>Servicios de recursos hídricos e hidrológicos</w:t>
      </w:r>
    </w:p>
    <w:p w14:paraId="4973C5FD" w14:textId="77777777" w:rsidR="003E5D1B" w:rsidRDefault="00E26782">
      <w:pPr>
        <w:numPr>
          <w:ilvl w:val="0"/>
          <w:numId w:val="21"/>
        </w:numPr>
        <w:tabs>
          <w:tab w:val="clear" w:pos="1134"/>
          <w:tab w:val="left" w:pos="960"/>
        </w:tabs>
        <w:spacing w:after="240" w:line="240" w:lineRule="exact"/>
        <w:rPr>
          <w:b/>
          <w:bCs/>
          <w:szCs w:val="22"/>
        </w:rPr>
      </w:pPr>
      <w:r>
        <w:rPr>
          <w:lang w:val="es-ES"/>
        </w:rPr>
        <w:lastRenderedPageBreak/>
        <w:t>Suministro de energía</w:t>
      </w:r>
    </w:p>
    <w:p w14:paraId="797F6096" w14:textId="77777777" w:rsidR="003E5D1B" w:rsidRDefault="00E26782">
      <w:pPr>
        <w:numPr>
          <w:ilvl w:val="0"/>
          <w:numId w:val="21"/>
        </w:numPr>
        <w:tabs>
          <w:tab w:val="clear" w:pos="1134"/>
          <w:tab w:val="left" w:pos="960"/>
        </w:tabs>
        <w:spacing w:after="240" w:line="240" w:lineRule="exact"/>
        <w:rPr>
          <w:b/>
          <w:bCs/>
          <w:szCs w:val="22"/>
        </w:rPr>
      </w:pPr>
      <w:r>
        <w:rPr>
          <w:lang w:val="es-ES"/>
        </w:rPr>
        <w:t xml:space="preserve">Seguros y servicios financieros </w:t>
      </w:r>
    </w:p>
    <w:p w14:paraId="26A946FD" w14:textId="77777777" w:rsidR="003E5D1B" w:rsidRDefault="00E26782">
      <w:pPr>
        <w:numPr>
          <w:ilvl w:val="0"/>
          <w:numId w:val="21"/>
        </w:numPr>
        <w:tabs>
          <w:tab w:val="clear" w:pos="1134"/>
          <w:tab w:val="left" w:pos="960"/>
        </w:tabs>
        <w:spacing w:after="240" w:line="240" w:lineRule="exact"/>
        <w:rPr>
          <w:b/>
          <w:bCs/>
          <w:szCs w:val="22"/>
        </w:rPr>
      </w:pPr>
      <w:r>
        <w:rPr>
          <w:lang w:val="es-ES"/>
        </w:rPr>
        <w:t>Aplicaciones marinas</w:t>
      </w:r>
    </w:p>
    <w:p w14:paraId="47153259" w14:textId="77777777" w:rsidR="003E5D1B" w:rsidRPr="008357EA" w:rsidRDefault="00E26782">
      <w:pPr>
        <w:numPr>
          <w:ilvl w:val="0"/>
          <w:numId w:val="21"/>
        </w:numPr>
        <w:tabs>
          <w:tab w:val="clear" w:pos="1134"/>
          <w:tab w:val="left" w:pos="960"/>
        </w:tabs>
        <w:spacing w:after="240" w:line="240" w:lineRule="exact"/>
        <w:rPr>
          <w:color w:val="000000" w:themeColor="text1"/>
          <w:szCs w:val="22"/>
          <w:lang w:val="es-419"/>
        </w:rPr>
      </w:pPr>
      <w:r>
        <w:rPr>
          <w:lang w:val="es-ES"/>
        </w:rPr>
        <w:t>Sistemas de alerta temprana de peligros múltiples</w:t>
      </w:r>
    </w:p>
    <w:p w14:paraId="13396364" w14:textId="237DDD10" w:rsidR="003E5D1B" w:rsidRPr="008357EA" w:rsidRDefault="00E26782">
      <w:pPr>
        <w:spacing w:after="240" w:line="240" w:lineRule="exact"/>
        <w:rPr>
          <w:rFonts w:eastAsiaTheme="minorEastAsia" w:cstheme="majorBidi"/>
          <w:color w:val="000000" w:themeColor="text1"/>
          <w:lang w:val="es-419"/>
        </w:rPr>
      </w:pPr>
      <w:r>
        <w:rPr>
          <w:lang w:val="es-ES"/>
        </w:rPr>
        <w:t xml:space="preserve">2.3.1.7.3. </w:t>
      </w:r>
      <w:r w:rsidR="008B0C15" w:rsidRPr="008B0C15">
        <w:rPr>
          <w:i/>
          <w:iCs/>
          <w:lang w:val="es-ES"/>
        </w:rPr>
        <w:t>Recomendaciones sobre la integración en el proceso nacional de predicción</w:t>
      </w:r>
    </w:p>
    <w:p w14:paraId="1BA6ABC0" w14:textId="27A8E025" w:rsidR="003E5D1B" w:rsidRPr="008357EA" w:rsidRDefault="00E26782">
      <w:pPr>
        <w:spacing w:after="240" w:line="240" w:lineRule="exact"/>
        <w:rPr>
          <w:rFonts w:eastAsiaTheme="minorEastAsia" w:cstheme="majorBidi"/>
          <w:b/>
          <w:bCs/>
          <w:lang w:val="es-419"/>
        </w:rPr>
      </w:pPr>
      <w:r>
        <w:rPr>
          <w:lang w:val="es-ES"/>
        </w:rPr>
        <w:t xml:space="preserve">Se recomienda a los </w:t>
      </w:r>
      <w:r w:rsidR="006753E1">
        <w:rPr>
          <w:lang w:val="es-ES"/>
        </w:rPr>
        <w:t>CMN</w:t>
      </w:r>
      <w:r>
        <w:rPr>
          <w:lang w:val="es-ES"/>
        </w:rPr>
        <w:t xml:space="preserve"> que examinen anualmente los resultados de las actividades de los </w:t>
      </w:r>
      <w:r w:rsidR="00A95DEF">
        <w:rPr>
          <w:lang w:val="es-ES"/>
        </w:rPr>
        <w:t>CMRE</w:t>
      </w:r>
      <w:r>
        <w:rPr>
          <w:lang w:val="es-ES"/>
        </w:rPr>
        <w:t xml:space="preserve"> pertinentes para su región, tal vez junto con su CRC. Eso podría hacerse </w:t>
      </w:r>
      <w:r w:rsidR="002F3F80">
        <w:rPr>
          <w:lang w:val="es-ES"/>
        </w:rPr>
        <w:t>utilizando</w:t>
      </w:r>
      <w:r>
        <w:rPr>
          <w:lang w:val="es-ES"/>
        </w:rPr>
        <w:t xml:space="preserve"> </w:t>
      </w:r>
      <w:hyperlink r:id="rId36" w:history="1">
        <w:r w:rsidR="00D65CE2" w:rsidRPr="00D65CE2">
          <w:rPr>
            <w:rStyle w:val="Hyperlink"/>
            <w:lang w:val="es-ES"/>
          </w:rPr>
          <w:t>el sitio</w:t>
        </w:r>
        <w:r w:rsidRPr="00D65CE2">
          <w:rPr>
            <w:rStyle w:val="Hyperlink"/>
            <w:lang w:val="es-ES"/>
          </w:rPr>
          <w:t xml:space="preserve"> web del Centro Principal de Predicción Climática Anual a Decenal</w:t>
        </w:r>
      </w:hyperlink>
      <w:r>
        <w:rPr>
          <w:lang w:val="es-ES"/>
        </w:rPr>
        <w:t xml:space="preserve">, que se actualiza </w:t>
      </w:r>
      <w:r w:rsidR="002F3F80">
        <w:rPr>
          <w:lang w:val="es-ES"/>
        </w:rPr>
        <w:t>una vez al año</w:t>
      </w:r>
      <w:r>
        <w:rPr>
          <w:lang w:val="es-ES"/>
        </w:rPr>
        <w:t xml:space="preserve"> en mayo, o </w:t>
      </w:r>
      <w:r w:rsidR="002F3F80">
        <w:rPr>
          <w:lang w:val="es-ES"/>
        </w:rPr>
        <w:t xml:space="preserve">estudiando </w:t>
      </w:r>
      <w:r>
        <w:rPr>
          <w:lang w:val="es-ES"/>
        </w:rPr>
        <w:t>el boletín sobre el clima mundial anual a decenal, que se publica poco después. Debe hacerse una evaluación de las repercusiones a escala nacional incorporando los conocimientos locales, y esta debe compartirse con las partes interesadas que correspondan, según sea necesario</w:t>
      </w:r>
      <w:r w:rsidR="0038717F">
        <w:rPr>
          <w:lang w:val="es-ES"/>
        </w:rPr>
        <w:t xml:space="preserve">. </w:t>
      </w:r>
    </w:p>
    <w:p w14:paraId="6417B5F8" w14:textId="361CD902" w:rsidR="003E5D1B" w:rsidRPr="008357EA" w:rsidRDefault="00E26782">
      <w:pPr>
        <w:spacing w:after="240" w:line="240" w:lineRule="exact"/>
        <w:rPr>
          <w:rFonts w:eastAsiaTheme="minorEastAsia" w:cstheme="majorBidi"/>
          <w:b/>
          <w:bCs/>
          <w:lang w:val="es-419"/>
        </w:rPr>
      </w:pPr>
      <w:r>
        <w:rPr>
          <w:lang w:val="es-ES"/>
        </w:rPr>
        <w:t xml:space="preserve">Cuando haya capacidad, los SMHN, y en particular los </w:t>
      </w:r>
      <w:r w:rsidR="00C63E3C">
        <w:rPr>
          <w:lang w:val="es-ES"/>
        </w:rPr>
        <w:t>CRC</w:t>
      </w:r>
      <w:r>
        <w:rPr>
          <w:lang w:val="es-ES"/>
        </w:rPr>
        <w:t xml:space="preserve">, deberían obtener los datos </w:t>
      </w:r>
      <w:r w:rsidR="00E13E25">
        <w:rPr>
          <w:lang w:val="es-ES"/>
        </w:rPr>
        <w:t xml:space="preserve">sin procesar </w:t>
      </w:r>
      <w:r>
        <w:rPr>
          <w:lang w:val="es-ES"/>
        </w:rPr>
        <w:t xml:space="preserve">de la modelización numérica (incluidos los procedentes de la combinación de varios modelos) para utilizarlos en sus propias evaluaciones regionales de diagnóstico y en sus modelos de impacto. Las orientaciones sobre cómo procesar los datos (por ejemplo, los métodos de corrección del sesgo) se ajustan a lo que se establece en el documento </w:t>
      </w:r>
      <w:hyperlink r:id="rId37" w:history="1">
        <w:r w:rsidRPr="00D65CE2">
          <w:rPr>
            <w:rStyle w:val="Hyperlink"/>
            <w:i/>
            <w:iCs/>
            <w:lang w:val="es-ES"/>
          </w:rPr>
          <w:t>Guidance on Operational Practices for Objective Seasonal Forecasting</w:t>
        </w:r>
      </w:hyperlink>
      <w:r>
        <w:rPr>
          <w:i/>
          <w:iCs/>
          <w:lang w:val="es-ES"/>
        </w:rPr>
        <w:t xml:space="preserve"> </w:t>
      </w:r>
      <w:r w:rsidRPr="00E13E25">
        <w:rPr>
          <w:lang w:val="es-ES"/>
        </w:rPr>
        <w:t>(</w:t>
      </w:r>
      <w:r w:rsidR="00CA1DA5" w:rsidRPr="00E13E25">
        <w:rPr>
          <w:lang w:val="es-ES"/>
        </w:rPr>
        <w:t>WMO-No. </w:t>
      </w:r>
      <w:r w:rsidRPr="00E13E25">
        <w:rPr>
          <w:lang w:val="es-ES"/>
        </w:rPr>
        <w:t>1246)</w:t>
      </w:r>
      <w:r>
        <w:rPr>
          <w:lang w:val="es-ES"/>
        </w:rPr>
        <w:t xml:space="preserve"> (Orientaciones sobre prácticas operativas para la predicción estacional objetiva). </w:t>
      </w:r>
    </w:p>
    <w:p w14:paraId="7CACE765" w14:textId="1737FF4F" w:rsidR="003E5D1B" w:rsidRPr="008357EA" w:rsidRDefault="00E26782">
      <w:pPr>
        <w:spacing w:after="240" w:line="240" w:lineRule="exact"/>
        <w:rPr>
          <w:rFonts w:eastAsiaTheme="minorEastAsia" w:cstheme="majorBidi"/>
          <w:b/>
          <w:bCs/>
          <w:lang w:val="es-419"/>
        </w:rPr>
      </w:pPr>
      <w:r>
        <w:rPr>
          <w:lang w:val="es-ES"/>
        </w:rPr>
        <w:t xml:space="preserve">Todos los centros que utilicen los resultados de la predicción climática anual a decenal deben ser conscientes de las limitaciones de las predicciones, ya que el grado de acierto varía sustancialmente entre las distintas variables meteorológicas y las distintas regiones del planeta. La información sobre la verificación se facilita tanto en el sitio web como en el boletín sobre el clima mundial anual a decenal. Además, debe entenderse que los resultados que indican la predicción más probable no deben utilizarse para evaluar el riesgo sin considerar también los demás resultados y su probabilidad relativa. Las solicitudes de ayuda para interpretar los datos deben dirigirse en primera instancia a los SMHN y los </w:t>
      </w:r>
      <w:r w:rsidR="00C63E3C">
        <w:rPr>
          <w:lang w:val="es-ES"/>
        </w:rPr>
        <w:t>CRC</w:t>
      </w:r>
      <w:r>
        <w:rPr>
          <w:lang w:val="es-ES"/>
        </w:rPr>
        <w:t xml:space="preserve">, aunque el Centro Principal de Predicción Climática Anual a Decenal también puede responder consultas. </w:t>
      </w:r>
    </w:p>
    <w:p w14:paraId="10361B02" w14:textId="190C11E3" w:rsidR="003E5D1B" w:rsidRPr="008357EA" w:rsidRDefault="00E26782">
      <w:pPr>
        <w:spacing w:after="240" w:line="240" w:lineRule="exact"/>
        <w:rPr>
          <w:rFonts w:eastAsiaTheme="minorEastAsia" w:cstheme="majorBidi"/>
          <w:b/>
          <w:bCs/>
          <w:color w:val="000000" w:themeColor="text1"/>
          <w:lang w:val="es-419"/>
        </w:rPr>
      </w:pPr>
      <w:r>
        <w:rPr>
          <w:lang w:val="es-ES"/>
        </w:rPr>
        <w:t>2.3.1.7.4</w:t>
      </w:r>
      <w:r w:rsidR="0038717F">
        <w:rPr>
          <w:lang w:val="es-ES"/>
        </w:rPr>
        <w:t xml:space="preserve">. </w:t>
      </w:r>
      <w:r w:rsidR="00947A8C" w:rsidRPr="00947A8C">
        <w:rPr>
          <w:i/>
          <w:iCs/>
          <w:lang w:val="es-ES"/>
        </w:rPr>
        <w:t>Mecanismo de retroinformación sobre la utilidad y exactitud de los productos</w:t>
      </w:r>
    </w:p>
    <w:p w14:paraId="06B6E563" w14:textId="59325289" w:rsidR="003E5D1B" w:rsidRPr="008357EA" w:rsidRDefault="00E26782">
      <w:pPr>
        <w:spacing w:after="240" w:line="240" w:lineRule="exact"/>
        <w:rPr>
          <w:rFonts w:eastAsiaTheme="minorEastAsia" w:cstheme="majorBidi"/>
          <w:color w:val="000000" w:themeColor="text1"/>
          <w:lang w:val="es-419"/>
        </w:rPr>
      </w:pPr>
      <w:r>
        <w:rPr>
          <w:lang w:val="es-ES"/>
        </w:rPr>
        <w:t xml:space="preserve">Se anima a los </w:t>
      </w:r>
      <w:r w:rsidR="006753E1">
        <w:rPr>
          <w:lang w:val="es-ES"/>
        </w:rPr>
        <w:t>CMN</w:t>
      </w:r>
      <w:r>
        <w:rPr>
          <w:lang w:val="es-ES"/>
        </w:rPr>
        <w:t xml:space="preserve"> y </w:t>
      </w:r>
      <w:r w:rsidR="00636D86">
        <w:rPr>
          <w:lang w:val="es-ES"/>
        </w:rPr>
        <w:t xml:space="preserve">a los </w:t>
      </w:r>
      <w:r w:rsidR="00C63E3C">
        <w:rPr>
          <w:lang w:val="es-ES"/>
        </w:rPr>
        <w:t>CRC</w:t>
      </w:r>
      <w:r>
        <w:rPr>
          <w:lang w:val="es-ES"/>
        </w:rPr>
        <w:t xml:space="preserve"> a brindar al Centro Principal de Predicción Climática Anual a Decenal y a los</w:t>
      </w:r>
      <w:r w:rsidR="004F6F84">
        <w:rPr>
          <w:lang w:val="es-ES"/>
        </w:rPr>
        <w:t xml:space="preserve"> </w:t>
      </w:r>
      <w:r>
        <w:rPr>
          <w:lang w:val="es-ES"/>
        </w:rPr>
        <w:t xml:space="preserve">Centros Mundiales de Producción de Predicciones Climáticas Anuales a Decenales retroinformación sobre sus experiencias en el uso de los productos y los datos gráficos anuales a decenales. Esa información puede referirse a la gama de productos y datos disponibles, a su utilidad, a la forma en que se presentan o al impacto (positivo o negativo) que tienen en las partes interesadas de su región, así como a la exactitud de las propias predicciones. </w:t>
      </w:r>
    </w:p>
    <w:p w14:paraId="318AA949" w14:textId="69632953" w:rsidR="003E5D1B" w:rsidRPr="008357EA" w:rsidRDefault="00E26782">
      <w:pPr>
        <w:keepNext/>
        <w:spacing w:before="240" w:after="240" w:line="240" w:lineRule="exact"/>
        <w:ind w:left="1123" w:hanging="1123"/>
        <w:outlineLvl w:val="5"/>
        <w:rPr>
          <w:rFonts w:eastAsiaTheme="minorEastAsia" w:cstheme="majorBidi"/>
          <w:b/>
          <w:bCs/>
          <w:i/>
          <w:iCs/>
          <w:color w:val="000000" w:themeColor="text1"/>
          <w:lang w:val="es-419"/>
        </w:rPr>
      </w:pPr>
      <w:bookmarkStart w:id="131" w:name="_Toc109993382"/>
      <w:bookmarkStart w:id="132" w:name="_Toc113003319"/>
      <w:bookmarkStart w:id="133" w:name="_Toc113024444"/>
      <w:bookmarkStart w:id="134" w:name="_Toc117501976"/>
      <w:r>
        <w:rPr>
          <w:b/>
          <w:bCs/>
          <w:i/>
          <w:iCs/>
          <w:lang w:val="es-ES"/>
        </w:rPr>
        <w:t>2.3.1.8</w:t>
      </w:r>
      <w:r>
        <w:rPr>
          <w:lang w:val="es-ES"/>
        </w:rPr>
        <w:tab/>
      </w:r>
      <w:r>
        <w:rPr>
          <w:b/>
          <w:bCs/>
          <w:i/>
          <w:iCs/>
          <w:lang w:val="es-ES"/>
        </w:rPr>
        <w:t>Predicción numérica de olas oceánicas</w:t>
      </w:r>
      <w:bookmarkEnd w:id="131"/>
      <w:bookmarkEnd w:id="132"/>
      <w:bookmarkEnd w:id="133"/>
      <w:bookmarkEnd w:id="134"/>
    </w:p>
    <w:p w14:paraId="2F8D1057" w14:textId="640873B4" w:rsidR="003E5D1B" w:rsidRPr="008357EA" w:rsidRDefault="00E26782">
      <w:pPr>
        <w:spacing w:before="240" w:after="240"/>
        <w:rPr>
          <w:rFonts w:eastAsia="Verdana" w:cs="Verdana"/>
          <w:color w:val="000000" w:themeColor="text1"/>
          <w:lang w:val="es-419"/>
        </w:rPr>
      </w:pPr>
      <w:r>
        <w:rPr>
          <w:lang w:val="es-ES"/>
        </w:rPr>
        <w:t xml:space="preserve">2.3.1.8.1. </w:t>
      </w:r>
      <w:r w:rsidR="00947A8C" w:rsidRPr="00947A8C">
        <w:rPr>
          <w:i/>
          <w:iCs/>
          <w:lang w:val="es-ES"/>
        </w:rPr>
        <w:t>Resumen general de la actividad de los CMRE</w:t>
      </w:r>
      <w:r w:rsidR="00947A8C">
        <w:rPr>
          <w:lang w:val="es-ES"/>
        </w:rPr>
        <w:t xml:space="preserve"> </w:t>
      </w:r>
    </w:p>
    <w:p w14:paraId="51B8A3A2" w14:textId="34D87007" w:rsidR="003E5D1B" w:rsidRPr="008357EA" w:rsidRDefault="00E26782">
      <w:pPr>
        <w:spacing w:before="240" w:after="240"/>
        <w:rPr>
          <w:rFonts w:eastAsia="Verdana" w:cs="Verdana"/>
          <w:color w:val="000000" w:themeColor="text1"/>
          <w:lang w:val="es-419"/>
        </w:rPr>
      </w:pPr>
      <w:r>
        <w:rPr>
          <w:lang w:val="es-ES"/>
        </w:rPr>
        <w:t xml:space="preserve">Desde hace muchos años, los SMHN de numerosos países marítimos han participado en la prestación de servicios de predicción y retroanálisis de las olas oceánicas para satisfacer las necesidades de los usuarios en todo tipo de actividades marítimas (seguridad marítima, navegación, pesca, explotación minera en el mar, comercio, ingeniería costera, construcción o actividades recreativas, entre otras). Desde 1984, la OMM ha apoyado de forma continua a los Miembros a los efectos de que refuercen la capacidad de sus SMHN para prestar servicios de alta calidad relacionados con las olas oceánicas. La predicción numérica de olas oceánicas proporciona información esencial que respalda esos servicios. Reconociendo que los SMHN necesitan productos numéricos de alta calidad relacionados con las olas oceánicas y también que </w:t>
      </w:r>
      <w:r>
        <w:rPr>
          <w:lang w:val="es-ES"/>
        </w:rPr>
        <w:lastRenderedPageBreak/>
        <w:t xml:space="preserve">la capacidad de modelización de olas ha mejorado de manera notable en los últimos dos decenios, sumado a la comprensión cada vez mayor de los riesgos asociados a los estados extremos del mar, en la 69ª reunión del </w:t>
      </w:r>
      <w:r w:rsidR="00F81A61">
        <w:rPr>
          <w:lang w:val="es-ES"/>
        </w:rPr>
        <w:t>Consejo Ejecutivo</w:t>
      </w:r>
      <w:r>
        <w:rPr>
          <w:lang w:val="es-ES"/>
        </w:rPr>
        <w:t xml:space="preserve"> (2017) se establecieron los criterios para designar </w:t>
      </w:r>
      <w:r w:rsidR="00A95DEF">
        <w:rPr>
          <w:lang w:val="es-ES"/>
        </w:rPr>
        <w:t>CMRE</w:t>
      </w:r>
      <w:r>
        <w:rPr>
          <w:lang w:val="es-ES"/>
        </w:rPr>
        <w:t xml:space="preserve"> que hicieran predicciones numéricas de olas oceánicas, y en la 76ª reunión del </w:t>
      </w:r>
      <w:r w:rsidR="00F81A61">
        <w:rPr>
          <w:lang w:val="es-ES"/>
        </w:rPr>
        <w:t>Consejo Ejecutivo</w:t>
      </w:r>
      <w:r>
        <w:rPr>
          <w:lang w:val="es-ES"/>
        </w:rPr>
        <w:t xml:space="preserve"> (2023) se aprobaron mejoras al respecto, con el fin de poner a disposición de todos los Miembros productos esenciales de modelización de olas oceánicas.</w:t>
      </w:r>
    </w:p>
    <w:p w14:paraId="336A6960" w14:textId="3911E04B" w:rsidR="003E5D1B" w:rsidRPr="008357EA" w:rsidRDefault="00E26782">
      <w:pPr>
        <w:spacing w:before="240" w:after="240"/>
        <w:rPr>
          <w:rFonts w:eastAsia="Verdana" w:cs="Verdana"/>
          <w:color w:val="000000" w:themeColor="text1"/>
          <w:lang w:val="es-419"/>
        </w:rPr>
      </w:pPr>
      <w:r>
        <w:rPr>
          <w:lang w:val="es-ES"/>
        </w:rPr>
        <w:t xml:space="preserve">i) </w:t>
      </w:r>
      <w:r w:rsidR="00947A8C" w:rsidRPr="00947A8C">
        <w:rPr>
          <w:i/>
          <w:iCs/>
          <w:lang w:val="es-ES"/>
        </w:rPr>
        <w:t>Centros designados y modalidad de trabajo</w:t>
      </w:r>
    </w:p>
    <w:p w14:paraId="14595474" w14:textId="530C95D5" w:rsidR="003E5D1B" w:rsidRPr="008357EA" w:rsidRDefault="00E26782">
      <w:pPr>
        <w:spacing w:before="240" w:after="240"/>
        <w:rPr>
          <w:rFonts w:eastAsia="Verdana" w:cs="Verdana"/>
          <w:color w:val="000000" w:themeColor="text1"/>
          <w:lang w:val="es-419"/>
        </w:rPr>
      </w:pPr>
      <w:r>
        <w:rPr>
          <w:lang w:val="es-ES"/>
        </w:rPr>
        <w:t xml:space="preserve">La lista de los </w:t>
      </w:r>
      <w:r w:rsidR="00A95DEF">
        <w:rPr>
          <w:lang w:val="es-ES"/>
        </w:rPr>
        <w:t>CMRE</w:t>
      </w:r>
      <w:r>
        <w:rPr>
          <w:lang w:val="es-ES"/>
        </w:rPr>
        <w:t xml:space="preserve"> designados para la predicción numérica de olas oceánicas figura en la parte III del </w:t>
      </w:r>
      <w:r w:rsidR="00B36420" w:rsidRPr="00B36420">
        <w:rPr>
          <w:i/>
          <w:iCs/>
          <w:lang w:val="es-ES"/>
        </w:rPr>
        <w:t>Manual del GDPFS</w:t>
      </w:r>
      <w:r>
        <w:rPr>
          <w:lang w:val="es-ES"/>
        </w:rPr>
        <w:t xml:space="preserve">. </w:t>
      </w:r>
    </w:p>
    <w:p w14:paraId="4209B20B" w14:textId="2E0BCF6D" w:rsidR="003E5D1B" w:rsidRPr="008357EA" w:rsidRDefault="00E26782">
      <w:pPr>
        <w:spacing w:before="240" w:after="240"/>
        <w:rPr>
          <w:rFonts w:eastAsia="Verdana" w:cs="Verdana"/>
          <w:color w:val="000000" w:themeColor="text1"/>
          <w:lang w:val="es-419"/>
        </w:rPr>
      </w:pPr>
      <w:r>
        <w:rPr>
          <w:lang w:val="es-ES"/>
        </w:rPr>
        <w:t xml:space="preserve">Cada </w:t>
      </w:r>
      <w:r w:rsidR="00A95DEF">
        <w:rPr>
          <w:lang w:val="es-ES"/>
        </w:rPr>
        <w:t>CMRE</w:t>
      </w:r>
      <w:r>
        <w:rPr>
          <w:lang w:val="es-ES"/>
        </w:rPr>
        <w:t xml:space="preserve"> proporciona productos numéricos de predicción y retroanálisis de las olas oceánicas con cobertura mundial. Entre esos </w:t>
      </w:r>
      <w:r w:rsidR="00A95DEF">
        <w:rPr>
          <w:lang w:val="es-ES"/>
        </w:rPr>
        <w:t>CMRE</w:t>
      </w:r>
      <w:r>
        <w:rPr>
          <w:lang w:val="es-ES"/>
        </w:rPr>
        <w:t xml:space="preserve"> hay un mecanismo destinado a coordinar la verificación de las predicciones de olas oceánicas (véase el papel del Centro Principal de Coordinación de la Verificación de Predicciones de Olas en la sección 2.3.3.3 de la parte II de la presente Guía). </w:t>
      </w:r>
    </w:p>
    <w:p w14:paraId="090029EA" w14:textId="5601B375" w:rsidR="003E5D1B" w:rsidRPr="008357EA" w:rsidRDefault="00E26782">
      <w:pPr>
        <w:spacing w:before="240" w:after="240"/>
        <w:rPr>
          <w:rFonts w:eastAsia="Verdana" w:cs="Verdana"/>
          <w:color w:val="000000" w:themeColor="text1"/>
          <w:lang w:val="es-419"/>
        </w:rPr>
      </w:pPr>
      <w:r>
        <w:rPr>
          <w:lang w:val="es-ES"/>
        </w:rPr>
        <w:t xml:space="preserve">ii) </w:t>
      </w:r>
      <w:r w:rsidR="00947A8C" w:rsidRPr="00947A8C">
        <w:rPr>
          <w:i/>
          <w:iCs/>
          <w:lang w:val="es-ES"/>
        </w:rPr>
        <w:t>Qué beneficios pueden obtener los CMN de los CMRE y cómo pueden contribuir con ellos</w:t>
      </w:r>
      <w:r>
        <w:rPr>
          <w:lang w:val="es-ES"/>
        </w:rPr>
        <w:t xml:space="preserve"> </w:t>
      </w:r>
    </w:p>
    <w:p w14:paraId="6654A848" w14:textId="7E961D68" w:rsidR="003E5D1B" w:rsidRPr="008357EA" w:rsidRDefault="00E26782">
      <w:pPr>
        <w:spacing w:before="240" w:after="240"/>
        <w:rPr>
          <w:rFonts w:eastAsia="Verdana" w:cs="Verdana"/>
          <w:color w:val="000000" w:themeColor="text1"/>
          <w:lang w:val="es-419"/>
        </w:rPr>
      </w:pPr>
      <w:r>
        <w:rPr>
          <w:lang w:val="es-ES"/>
        </w:rPr>
        <w:t xml:space="preserve">Los </w:t>
      </w:r>
      <w:r w:rsidR="006753E1">
        <w:rPr>
          <w:lang w:val="es-ES"/>
        </w:rPr>
        <w:t>CMN</w:t>
      </w:r>
      <w:r>
        <w:rPr>
          <w:lang w:val="es-ES"/>
        </w:rPr>
        <w:t xml:space="preserve"> pueden utilizar el WIS para acceder a los datos y productos que ponen a disposición los </w:t>
      </w:r>
      <w:r w:rsidR="00A95DEF">
        <w:rPr>
          <w:lang w:val="es-ES"/>
        </w:rPr>
        <w:t>CMRE</w:t>
      </w:r>
      <w:r>
        <w:rPr>
          <w:lang w:val="es-ES"/>
        </w:rPr>
        <w:t xml:space="preserve"> que hacen predicciones numéricas de olas oceánicas. Los metadatos del </w:t>
      </w:r>
      <w:r w:rsidR="001C5219">
        <w:rPr>
          <w:lang w:val="es-ES"/>
        </w:rPr>
        <w:t>WIS</w:t>
      </w:r>
      <w:r>
        <w:rPr>
          <w:lang w:val="es-ES"/>
        </w:rPr>
        <w:t xml:space="preserve"> asociados a cada archivo de datos y productos se obtienen en el </w:t>
      </w:r>
      <w:hyperlink r:id="rId38" w:history="1">
        <w:r w:rsidR="00464890" w:rsidRPr="00464890">
          <w:rPr>
            <w:rStyle w:val="Hyperlink"/>
            <w:lang w:val="es-ES"/>
          </w:rPr>
          <w:t>portal web del GDPFS</w:t>
        </w:r>
      </w:hyperlink>
      <w:r>
        <w:rPr>
          <w:lang w:val="es-ES"/>
        </w:rPr>
        <w:t xml:space="preserve"> seleccionando la predicción numérica de olas oceánicas en la lista de actividades.</w:t>
      </w:r>
    </w:p>
    <w:p w14:paraId="58C8CDC9" w14:textId="2AB75CCC" w:rsidR="003E5D1B" w:rsidRPr="008357EA" w:rsidRDefault="00E26782">
      <w:pPr>
        <w:spacing w:before="240" w:after="240"/>
        <w:rPr>
          <w:rFonts w:eastAsia="Verdana" w:cs="Verdana"/>
          <w:color w:val="000000" w:themeColor="text1"/>
          <w:lang w:val="es-419"/>
        </w:rPr>
      </w:pPr>
      <w:r>
        <w:rPr>
          <w:lang w:val="es-ES"/>
        </w:rPr>
        <w:t xml:space="preserve">Los </w:t>
      </w:r>
      <w:r w:rsidR="006753E1">
        <w:rPr>
          <w:lang w:val="es-ES"/>
        </w:rPr>
        <w:t>CMN</w:t>
      </w:r>
      <w:r>
        <w:rPr>
          <w:lang w:val="es-ES"/>
        </w:rPr>
        <w:t xml:space="preserve"> pueden contribuir a la actividad de los </w:t>
      </w:r>
      <w:r w:rsidR="00A95DEF">
        <w:rPr>
          <w:lang w:val="es-ES"/>
        </w:rPr>
        <w:t>CMRE</w:t>
      </w:r>
      <w:r>
        <w:rPr>
          <w:lang w:val="es-ES"/>
        </w:rPr>
        <w:t xml:space="preserve"> de las siguientes maneras (enumeración no taxativa): 1) llevando a cabo verificaciones de las predicciones de olas y proporcionando retroinformación sobre el desempeño de los modelos respectivos en sus zonas de responsabilidad relacionadas con el mar; 2) haciendo estudios de caso sobre fenómenos concretos relacionados con el mar y transmitiendo esa información a los </w:t>
      </w:r>
      <w:r w:rsidR="00A95DEF">
        <w:rPr>
          <w:lang w:val="es-ES"/>
        </w:rPr>
        <w:t>CMRE</w:t>
      </w:r>
      <w:r>
        <w:rPr>
          <w:lang w:val="es-ES"/>
        </w:rPr>
        <w:t xml:space="preserve">; 3) trabajando con los </w:t>
      </w:r>
      <w:r w:rsidR="00A95DEF">
        <w:rPr>
          <w:lang w:val="es-ES"/>
        </w:rPr>
        <w:t>CMRE</w:t>
      </w:r>
      <w:r>
        <w:rPr>
          <w:lang w:val="es-ES"/>
        </w:rPr>
        <w:t xml:space="preserve"> en avances concretos de los modelos, sobre la base de los resultados de las verificaciones, y 4) proporcionando otros datos observacionales para que se asimilen en los modelos. </w:t>
      </w:r>
    </w:p>
    <w:p w14:paraId="2A8B8CFC" w14:textId="7D4CCCA2" w:rsidR="003E5D1B" w:rsidRPr="008357EA" w:rsidRDefault="00E26782">
      <w:pPr>
        <w:spacing w:before="240" w:after="240"/>
        <w:rPr>
          <w:rFonts w:eastAsia="Verdana" w:cs="Verdana"/>
          <w:color w:val="000000" w:themeColor="text1"/>
          <w:lang w:val="es-419"/>
        </w:rPr>
      </w:pPr>
      <w:r>
        <w:rPr>
          <w:lang w:val="es-ES"/>
        </w:rPr>
        <w:t xml:space="preserve">2.3.1.8.2. </w:t>
      </w:r>
      <w:r w:rsidR="00947A8C" w:rsidRPr="00947A8C">
        <w:rPr>
          <w:i/>
          <w:iCs/>
          <w:lang w:val="es-ES"/>
        </w:rPr>
        <w:t>Esferas de aplicación y servicio que los CMRE podrían respaldar</w:t>
      </w:r>
    </w:p>
    <w:p w14:paraId="46AC67C7" w14:textId="069BFAA8" w:rsidR="003E5D1B" w:rsidRPr="008357EA" w:rsidRDefault="00E26782" w:rsidP="00226D18">
      <w:pPr>
        <w:widowControl w:val="0"/>
        <w:tabs>
          <w:tab w:val="clear" w:pos="1134"/>
        </w:tabs>
        <w:spacing w:before="240" w:after="240"/>
        <w:jc w:val="left"/>
        <w:rPr>
          <w:rFonts w:eastAsia="Verdana" w:cs="Verdana"/>
          <w:color w:val="000000" w:themeColor="text1"/>
          <w:lang w:val="es-419"/>
        </w:rPr>
      </w:pPr>
      <w:r>
        <w:rPr>
          <w:lang w:val="es-ES"/>
        </w:rPr>
        <w:t xml:space="preserve">Los productos que </w:t>
      </w:r>
      <w:r w:rsidR="00226D18">
        <w:rPr>
          <w:lang w:val="es-ES"/>
        </w:rPr>
        <w:t>ponen a disposición</w:t>
      </w:r>
      <w:r>
        <w:rPr>
          <w:lang w:val="es-ES"/>
        </w:rPr>
        <w:t xml:space="preserve"> los </w:t>
      </w:r>
      <w:r w:rsidR="00A95DEF">
        <w:rPr>
          <w:lang w:val="es-ES"/>
        </w:rPr>
        <w:t>CMRE</w:t>
      </w:r>
      <w:r>
        <w:rPr>
          <w:lang w:val="es-ES"/>
        </w:rPr>
        <w:t xml:space="preserve"> que realizan predicciones numéricas de olas oceánicas respaldan las siguientes esferas:</w:t>
      </w:r>
    </w:p>
    <w:p w14:paraId="5F161B07" w14:textId="38A9C26F" w:rsidR="003E5D1B" w:rsidRPr="008357EA" w:rsidRDefault="00E26782">
      <w:pPr>
        <w:widowControl w:val="0"/>
        <w:numPr>
          <w:ilvl w:val="0"/>
          <w:numId w:val="35"/>
        </w:numPr>
        <w:tabs>
          <w:tab w:val="clear" w:pos="1134"/>
        </w:tabs>
        <w:spacing w:before="240" w:after="240"/>
        <w:ind w:left="357" w:hanging="357"/>
        <w:jc w:val="left"/>
        <w:rPr>
          <w:rFonts w:eastAsia="Verdana" w:cs="Verdana"/>
          <w:lang w:val="es-419"/>
        </w:rPr>
      </w:pPr>
      <w:r>
        <w:rPr>
          <w:lang w:val="es-ES"/>
        </w:rPr>
        <w:t xml:space="preserve">Servicios meteorológicos marinos y aplicaciones oceánicas que respaldan la seguridad marítima, la navegación, la pesca, la explotación minera en el mar, el comercio, la ingeniería costera, la construcción y </w:t>
      </w:r>
      <w:r w:rsidR="00226D18">
        <w:rPr>
          <w:lang w:val="es-ES"/>
        </w:rPr>
        <w:t xml:space="preserve">las </w:t>
      </w:r>
      <w:r>
        <w:rPr>
          <w:lang w:val="es-ES"/>
        </w:rPr>
        <w:t>actividades recreativas, entre otr</w:t>
      </w:r>
      <w:r w:rsidR="00226D18">
        <w:rPr>
          <w:lang w:val="es-ES"/>
        </w:rPr>
        <w:t>o</w:t>
      </w:r>
      <w:r>
        <w:rPr>
          <w:lang w:val="es-ES"/>
        </w:rPr>
        <w:t>s.</w:t>
      </w:r>
    </w:p>
    <w:p w14:paraId="6E17BE4C" w14:textId="77777777" w:rsidR="003E5D1B" w:rsidRPr="008357EA" w:rsidRDefault="00E26782">
      <w:pPr>
        <w:widowControl w:val="0"/>
        <w:numPr>
          <w:ilvl w:val="0"/>
          <w:numId w:val="35"/>
        </w:numPr>
        <w:tabs>
          <w:tab w:val="clear" w:pos="1134"/>
        </w:tabs>
        <w:spacing w:before="240" w:after="240" w:line="276" w:lineRule="auto"/>
        <w:rPr>
          <w:rFonts w:eastAsia="Verdana" w:cs="Verdana"/>
          <w:lang w:val="es-419"/>
        </w:rPr>
      </w:pPr>
      <w:r>
        <w:rPr>
          <w:lang w:val="es-ES"/>
        </w:rPr>
        <w:t>Servicios públicos de predicción meteorológica.</w:t>
      </w:r>
    </w:p>
    <w:p w14:paraId="1FEC52E3" w14:textId="77777777" w:rsidR="003E5D1B" w:rsidRPr="008357EA" w:rsidRDefault="00E26782">
      <w:pPr>
        <w:widowControl w:val="0"/>
        <w:numPr>
          <w:ilvl w:val="0"/>
          <w:numId w:val="35"/>
        </w:numPr>
        <w:tabs>
          <w:tab w:val="clear" w:pos="1134"/>
        </w:tabs>
        <w:spacing w:before="240" w:after="240" w:line="276" w:lineRule="auto"/>
        <w:rPr>
          <w:rFonts w:eastAsia="Verdana" w:cs="Verdana"/>
          <w:lang w:val="es-419"/>
        </w:rPr>
      </w:pPr>
      <w:r>
        <w:rPr>
          <w:lang w:val="es-ES"/>
        </w:rPr>
        <w:t>Sistemas de alerta temprana de peligros múltiples.</w:t>
      </w:r>
    </w:p>
    <w:p w14:paraId="483489E2" w14:textId="5D19E1F7" w:rsidR="003E5D1B" w:rsidRPr="008357EA" w:rsidRDefault="00E26782">
      <w:pPr>
        <w:spacing w:before="240" w:after="240"/>
        <w:rPr>
          <w:rFonts w:eastAsia="Verdana" w:cs="Verdana"/>
          <w:color w:val="000000" w:themeColor="text1"/>
          <w:lang w:val="es-419"/>
        </w:rPr>
      </w:pPr>
      <w:r>
        <w:rPr>
          <w:lang w:val="es-ES"/>
        </w:rPr>
        <w:t xml:space="preserve">2.3.1.8.3. </w:t>
      </w:r>
      <w:r w:rsidR="008B0C15" w:rsidRPr="008B0C15">
        <w:rPr>
          <w:i/>
          <w:iCs/>
          <w:lang w:val="es-ES"/>
        </w:rPr>
        <w:t>Recomendaciones sobre la integración en el proceso nacional de predicción</w:t>
      </w:r>
    </w:p>
    <w:p w14:paraId="229A7E84" w14:textId="6E0695B3" w:rsidR="003E5D1B" w:rsidRPr="008357EA" w:rsidRDefault="00E26782">
      <w:pPr>
        <w:spacing w:before="240" w:after="240"/>
        <w:rPr>
          <w:rFonts w:eastAsia="Verdana" w:cs="Verdana"/>
          <w:color w:val="000000" w:themeColor="text1"/>
          <w:lang w:val="es-419"/>
        </w:rPr>
      </w:pPr>
      <w:r>
        <w:rPr>
          <w:lang w:val="es-ES"/>
        </w:rPr>
        <w:t xml:space="preserve">En su calidad de actividad especializada, se recomienda aplicar los siguientes pasos para integrar los productos de los </w:t>
      </w:r>
      <w:r w:rsidR="00A95DEF">
        <w:rPr>
          <w:lang w:val="es-ES"/>
        </w:rPr>
        <w:t>CMRE</w:t>
      </w:r>
      <w:r>
        <w:rPr>
          <w:lang w:val="es-ES"/>
        </w:rPr>
        <w:t xml:space="preserve"> que hacen predicciones numéricas de olas oceánicas en el proceso nacional de predicción: </w:t>
      </w:r>
    </w:p>
    <w:p w14:paraId="1BF45882" w14:textId="04CAB047" w:rsidR="003E5D1B" w:rsidRPr="008357EA" w:rsidRDefault="00E26782">
      <w:pPr>
        <w:widowControl w:val="0"/>
        <w:numPr>
          <w:ilvl w:val="0"/>
          <w:numId w:val="4"/>
        </w:numPr>
        <w:tabs>
          <w:tab w:val="clear" w:pos="1134"/>
        </w:tabs>
        <w:spacing w:before="240" w:after="240" w:line="276" w:lineRule="auto"/>
        <w:rPr>
          <w:rFonts w:eastAsia="Verdana" w:cs="Verdana"/>
          <w:lang w:val="es-419"/>
        </w:rPr>
      </w:pPr>
      <w:r>
        <w:rPr>
          <w:lang w:val="es-ES"/>
        </w:rPr>
        <w:t xml:space="preserve">Analizar y </w:t>
      </w:r>
      <w:r w:rsidR="00226D18">
        <w:rPr>
          <w:lang w:val="es-ES"/>
        </w:rPr>
        <w:t>vigilar de forma</w:t>
      </w:r>
      <w:r>
        <w:rPr>
          <w:lang w:val="es-ES"/>
        </w:rPr>
        <w:t xml:space="preserve"> continua las condiciones meteorológicas marinas y de las olas mediante observaciones locales y por teledetección.</w:t>
      </w:r>
    </w:p>
    <w:p w14:paraId="07F442CE" w14:textId="77777777" w:rsidR="003E5D1B" w:rsidRPr="008357EA" w:rsidRDefault="00E26782">
      <w:pPr>
        <w:widowControl w:val="0"/>
        <w:numPr>
          <w:ilvl w:val="0"/>
          <w:numId w:val="4"/>
        </w:numPr>
        <w:tabs>
          <w:tab w:val="clear" w:pos="1134"/>
        </w:tabs>
        <w:spacing w:before="240" w:after="240" w:line="276" w:lineRule="auto"/>
        <w:rPr>
          <w:rFonts w:eastAsia="Verdana" w:cs="Verdana"/>
          <w:lang w:val="es-419"/>
        </w:rPr>
      </w:pPr>
      <w:r>
        <w:rPr>
          <w:lang w:val="es-ES"/>
        </w:rPr>
        <w:t xml:space="preserve">Evaluar la calidad de los retroanálisis de las olas en función de las observaciones </w:t>
      </w:r>
      <w:r>
        <w:rPr>
          <w:lang w:val="es-ES"/>
        </w:rPr>
        <w:lastRenderedPageBreak/>
        <w:t>disponibles.</w:t>
      </w:r>
    </w:p>
    <w:p w14:paraId="40B38891" w14:textId="4AA3FD6C" w:rsidR="003E5D1B" w:rsidRPr="008357EA" w:rsidRDefault="00E26782">
      <w:pPr>
        <w:widowControl w:val="0"/>
        <w:numPr>
          <w:ilvl w:val="0"/>
          <w:numId w:val="4"/>
        </w:numPr>
        <w:tabs>
          <w:tab w:val="clear" w:pos="1134"/>
        </w:tabs>
        <w:spacing w:before="240" w:after="240" w:line="276" w:lineRule="auto"/>
        <w:rPr>
          <w:rFonts w:eastAsia="Verdana" w:cs="Verdana"/>
          <w:lang w:val="es-419"/>
        </w:rPr>
      </w:pPr>
      <w:r>
        <w:rPr>
          <w:lang w:val="es-ES"/>
        </w:rPr>
        <w:t xml:space="preserve">Describir las predicciones de olas utilizando los productos de los </w:t>
      </w:r>
      <w:r w:rsidR="00A95DEF">
        <w:rPr>
          <w:lang w:val="es-ES"/>
        </w:rPr>
        <w:t>CMRE</w:t>
      </w:r>
      <w:r>
        <w:rPr>
          <w:lang w:val="es-ES"/>
        </w:rPr>
        <w:t xml:space="preserve"> que hacen predicciones numéricas de olas oceánicas y reducirlos a las condiciones locales.</w:t>
      </w:r>
    </w:p>
    <w:p w14:paraId="428AF133" w14:textId="77777777" w:rsidR="003E5D1B" w:rsidRPr="008357EA" w:rsidRDefault="00E26782">
      <w:pPr>
        <w:widowControl w:val="0"/>
        <w:numPr>
          <w:ilvl w:val="0"/>
          <w:numId w:val="4"/>
        </w:numPr>
        <w:tabs>
          <w:tab w:val="clear" w:pos="1134"/>
        </w:tabs>
        <w:spacing w:before="240" w:after="240" w:line="276" w:lineRule="auto"/>
        <w:rPr>
          <w:rFonts w:eastAsia="Verdana" w:cs="Verdana"/>
          <w:lang w:val="es-419"/>
        </w:rPr>
      </w:pPr>
      <w:r>
        <w:rPr>
          <w:lang w:val="es-ES"/>
        </w:rPr>
        <w:t>Emitir avisos de olas cuando el estado del mar es extremo.</w:t>
      </w:r>
    </w:p>
    <w:p w14:paraId="67541927" w14:textId="77777777" w:rsidR="003E5D1B" w:rsidRPr="008357EA" w:rsidRDefault="00E26782">
      <w:pPr>
        <w:widowControl w:val="0"/>
        <w:numPr>
          <w:ilvl w:val="0"/>
          <w:numId w:val="4"/>
        </w:numPr>
        <w:tabs>
          <w:tab w:val="clear" w:pos="1134"/>
        </w:tabs>
        <w:spacing w:before="240" w:after="240" w:line="276" w:lineRule="auto"/>
        <w:rPr>
          <w:rFonts w:eastAsia="Verdana" w:cs="Verdana"/>
          <w:lang w:val="es-419"/>
        </w:rPr>
      </w:pPr>
      <w:r>
        <w:rPr>
          <w:lang w:val="es-ES"/>
        </w:rPr>
        <w:t>Comunicar a los usuarios la información relacionada con los retroanálisis, las predicciones y los avisos de olas.</w:t>
      </w:r>
    </w:p>
    <w:p w14:paraId="16F3FB90" w14:textId="2E454D1C" w:rsidR="003E5D1B" w:rsidRPr="008357EA" w:rsidRDefault="00E26782">
      <w:pPr>
        <w:spacing w:before="240" w:after="240"/>
        <w:rPr>
          <w:rFonts w:eastAsia="Verdana" w:cs="Verdana"/>
          <w:color w:val="000000" w:themeColor="text1"/>
          <w:lang w:val="es-419"/>
        </w:rPr>
      </w:pPr>
      <w:r>
        <w:rPr>
          <w:lang w:val="es-ES"/>
        </w:rPr>
        <w:t>2.3.1.8.4</w:t>
      </w:r>
      <w:r w:rsidR="0038717F">
        <w:rPr>
          <w:lang w:val="es-ES"/>
        </w:rPr>
        <w:t xml:space="preserve">. </w:t>
      </w:r>
      <w:r w:rsidR="00947A8C" w:rsidRPr="00947A8C">
        <w:rPr>
          <w:i/>
          <w:iCs/>
          <w:lang w:val="es-ES"/>
        </w:rPr>
        <w:t>Mecanismo de retroinformación sobre la utilidad y exactitud de los productos</w:t>
      </w:r>
    </w:p>
    <w:p w14:paraId="290689BF" w14:textId="488A2EC0" w:rsidR="003E5D1B" w:rsidRPr="008357EA" w:rsidRDefault="00E26782">
      <w:pPr>
        <w:spacing w:before="240" w:after="240"/>
        <w:rPr>
          <w:rFonts w:eastAsia="Verdana" w:cs="Verdana"/>
          <w:color w:val="000000" w:themeColor="text1"/>
          <w:lang w:val="es-419"/>
        </w:rPr>
      </w:pPr>
      <w:r>
        <w:rPr>
          <w:lang w:val="es-ES"/>
        </w:rPr>
        <w:t xml:space="preserve">Se anima a los </w:t>
      </w:r>
      <w:r w:rsidR="006753E1">
        <w:rPr>
          <w:lang w:val="es-ES"/>
        </w:rPr>
        <w:t>CMN</w:t>
      </w:r>
      <w:r>
        <w:rPr>
          <w:lang w:val="es-ES"/>
        </w:rPr>
        <w:t xml:space="preserve"> a verificar los productos de predicción numérica de olas oceánicas utilizando los procedimientos normalizados de verificación que se definen en el apéndice 2.2.34 del </w:t>
      </w:r>
      <w:r w:rsidR="00B36420" w:rsidRPr="00B36420">
        <w:rPr>
          <w:i/>
          <w:iCs/>
          <w:lang w:val="es-ES"/>
        </w:rPr>
        <w:t>Manual del GDPFS</w:t>
      </w:r>
      <w:r>
        <w:rPr>
          <w:lang w:val="es-ES"/>
        </w:rPr>
        <w:t xml:space="preserve">, y a poner los resultados de la verificación a disposición de los </w:t>
      </w:r>
      <w:r w:rsidR="00A95DEF">
        <w:rPr>
          <w:lang w:val="es-ES"/>
        </w:rPr>
        <w:t>CMRE</w:t>
      </w:r>
      <w:r>
        <w:rPr>
          <w:lang w:val="es-ES"/>
        </w:rPr>
        <w:t xml:space="preserve"> que elaboraron los productos verificados.</w:t>
      </w:r>
    </w:p>
    <w:p w14:paraId="7ADF3455" w14:textId="20EDD69E" w:rsidR="003E5D1B" w:rsidRPr="008357EA" w:rsidRDefault="00E26782">
      <w:pPr>
        <w:keepNext/>
        <w:spacing w:before="240" w:after="240" w:line="240" w:lineRule="exact"/>
        <w:ind w:left="1123" w:hanging="1123"/>
        <w:outlineLvl w:val="5"/>
        <w:rPr>
          <w:rFonts w:eastAsiaTheme="minorEastAsia" w:cstheme="majorBidi"/>
          <w:b/>
          <w:bCs/>
          <w:i/>
          <w:iCs/>
          <w:color w:val="000000" w:themeColor="text1"/>
          <w:lang w:val="es-419"/>
        </w:rPr>
      </w:pPr>
      <w:bookmarkStart w:id="135" w:name="_Toc109993383"/>
      <w:bookmarkStart w:id="136" w:name="_Toc113003320"/>
      <w:bookmarkStart w:id="137" w:name="_Toc113024445"/>
      <w:bookmarkStart w:id="138" w:name="_Toc117501977"/>
      <w:r>
        <w:rPr>
          <w:b/>
          <w:bCs/>
          <w:i/>
          <w:iCs/>
          <w:lang w:val="es-ES"/>
        </w:rPr>
        <w:t>2.3.1.9</w:t>
      </w:r>
      <w:r>
        <w:rPr>
          <w:lang w:val="es-ES"/>
        </w:rPr>
        <w:tab/>
      </w:r>
      <w:r>
        <w:rPr>
          <w:b/>
          <w:bCs/>
          <w:i/>
          <w:iCs/>
          <w:lang w:val="es-ES"/>
        </w:rPr>
        <w:t>Predicción numérica oceánica a escala mundial</w:t>
      </w:r>
      <w:r>
        <w:rPr>
          <w:lang w:val="es-ES"/>
        </w:rPr>
        <w:t xml:space="preserve"> </w:t>
      </w:r>
      <w:bookmarkEnd w:id="135"/>
      <w:bookmarkEnd w:id="136"/>
      <w:bookmarkEnd w:id="137"/>
      <w:bookmarkEnd w:id="138"/>
    </w:p>
    <w:p w14:paraId="5FE799D0" w14:textId="79CF93EB" w:rsidR="003E5D1B" w:rsidRPr="008357EA" w:rsidRDefault="00E26782">
      <w:pPr>
        <w:spacing w:before="240" w:after="240"/>
        <w:rPr>
          <w:rFonts w:eastAsia="Verdana" w:cs="Verdana"/>
          <w:color w:val="000000" w:themeColor="text1"/>
          <w:lang w:val="es-419"/>
        </w:rPr>
      </w:pPr>
      <w:r>
        <w:rPr>
          <w:lang w:val="es-ES"/>
        </w:rPr>
        <w:t xml:space="preserve">2.3.1.9.1. </w:t>
      </w:r>
      <w:r w:rsidR="00947A8C" w:rsidRPr="00947A8C">
        <w:rPr>
          <w:i/>
          <w:iCs/>
          <w:lang w:val="es-ES"/>
        </w:rPr>
        <w:t>Resumen general de la actividad de los CMRE</w:t>
      </w:r>
      <w:r w:rsidR="00947A8C">
        <w:rPr>
          <w:lang w:val="es-ES"/>
        </w:rPr>
        <w:t xml:space="preserve"> </w:t>
      </w:r>
    </w:p>
    <w:p w14:paraId="5304A0FF" w14:textId="09062093" w:rsidR="003E5D1B" w:rsidRPr="008357EA" w:rsidRDefault="00E26782">
      <w:pPr>
        <w:spacing w:before="240" w:after="240"/>
        <w:rPr>
          <w:rFonts w:eastAsia="Verdana" w:cs="Verdana"/>
          <w:color w:val="000000" w:themeColor="text1"/>
          <w:lang w:val="es-419"/>
        </w:rPr>
      </w:pPr>
      <w:r>
        <w:rPr>
          <w:lang w:val="es-ES"/>
        </w:rPr>
        <w:t xml:space="preserve">El océano es el mayor ecosistema de la Tierra. Desempeña un papel fundamental en la regulación del tiempo y el clima del planeta y, por tanto, es un componente esencial de la predicción del sistema Tierra. Los avances de los sistemas de predicción oceánica en los últimos 20 años han </w:t>
      </w:r>
      <w:r w:rsidR="00B03888">
        <w:rPr>
          <w:lang w:val="es-ES"/>
        </w:rPr>
        <w:t>llevado a</w:t>
      </w:r>
      <w:r>
        <w:rPr>
          <w:lang w:val="es-ES"/>
        </w:rPr>
        <w:t xml:space="preserve"> que la infraestructura de la oceanografía </w:t>
      </w:r>
      <w:r w:rsidR="00B03888">
        <w:rPr>
          <w:lang w:val="es-ES"/>
        </w:rPr>
        <w:t>operativa</w:t>
      </w:r>
      <w:r>
        <w:rPr>
          <w:lang w:val="es-ES"/>
        </w:rPr>
        <w:t xml:space="preserve"> sea fundamental para una amplia gama de actividades marinas (seguridad marítima, protección del medio marino, búsqueda y salvamento, pesca y otras). </w:t>
      </w:r>
    </w:p>
    <w:p w14:paraId="73A127B5" w14:textId="12997EF2" w:rsidR="003E5D1B" w:rsidRPr="008357EA" w:rsidRDefault="00E26782">
      <w:pPr>
        <w:spacing w:before="240" w:after="240"/>
        <w:rPr>
          <w:rFonts w:eastAsia="Verdana" w:cs="Verdana"/>
          <w:color w:val="000000" w:themeColor="text1"/>
          <w:lang w:val="es-419"/>
        </w:rPr>
      </w:pPr>
      <w:r>
        <w:rPr>
          <w:lang w:val="es-ES"/>
        </w:rPr>
        <w:t xml:space="preserve">Los SMHN, las instituciones oceanográficas asociadas y los consorcios de numerosos países marítimos han participado en el suministro de productos de predicción numérica oceánica a escala mundial. Reconociendo que los SMHN necesitan productos de predicción numérica oceánica a escala mundial de alta calidad y también que la capacidad de los sistemas de predicción oceánica ha mejorado considerablemente, en la 69ª reunión del </w:t>
      </w:r>
      <w:r w:rsidR="00F81A61">
        <w:rPr>
          <w:lang w:val="es-ES"/>
        </w:rPr>
        <w:t>Consejo Ejecutivo</w:t>
      </w:r>
      <w:r>
        <w:rPr>
          <w:lang w:val="es-ES"/>
        </w:rPr>
        <w:t xml:space="preserve"> (2017) se establecieron los criterios para designar </w:t>
      </w:r>
      <w:r w:rsidR="00A95DEF">
        <w:rPr>
          <w:lang w:val="es-ES"/>
        </w:rPr>
        <w:t>CMRE</w:t>
      </w:r>
      <w:r>
        <w:rPr>
          <w:lang w:val="es-ES"/>
        </w:rPr>
        <w:t xml:space="preserve"> que hicieran predicciones numéricas oceánicas a escala mundial, y en la 76ª reunión del </w:t>
      </w:r>
      <w:r w:rsidR="00F81A61">
        <w:rPr>
          <w:lang w:val="es-ES"/>
        </w:rPr>
        <w:t>Consejo Ejecutivo</w:t>
      </w:r>
      <w:r>
        <w:rPr>
          <w:lang w:val="es-ES"/>
        </w:rPr>
        <w:t xml:space="preserve"> (2023) se aprobaron mejoras al respecto, con el fin de poner a disposición de todos los Miembros productos esenciales de modelización oceánica.</w:t>
      </w:r>
    </w:p>
    <w:p w14:paraId="087D3921" w14:textId="26E88112" w:rsidR="003E5D1B" w:rsidRPr="008357EA" w:rsidRDefault="00E26782">
      <w:pPr>
        <w:spacing w:before="240" w:after="240"/>
        <w:rPr>
          <w:rFonts w:eastAsia="Verdana" w:cs="Verdana"/>
          <w:color w:val="000000" w:themeColor="text1"/>
          <w:lang w:val="es-419"/>
        </w:rPr>
      </w:pPr>
      <w:r>
        <w:rPr>
          <w:lang w:val="es-ES"/>
        </w:rPr>
        <w:t xml:space="preserve">i) </w:t>
      </w:r>
      <w:r w:rsidR="00947A8C" w:rsidRPr="00947A8C">
        <w:rPr>
          <w:i/>
          <w:iCs/>
          <w:lang w:val="es-ES"/>
        </w:rPr>
        <w:t>Centros designados y modalidad de trabajo</w:t>
      </w:r>
    </w:p>
    <w:p w14:paraId="47054988" w14:textId="70C379DD" w:rsidR="003E5D1B" w:rsidRPr="008357EA" w:rsidRDefault="00E26782">
      <w:pPr>
        <w:spacing w:before="240" w:after="240"/>
        <w:rPr>
          <w:rFonts w:eastAsia="Verdana" w:cs="Verdana"/>
          <w:color w:val="000000" w:themeColor="text1"/>
          <w:lang w:val="es-419"/>
        </w:rPr>
      </w:pPr>
      <w:r>
        <w:rPr>
          <w:lang w:val="es-ES"/>
        </w:rPr>
        <w:t xml:space="preserve">La lista de los </w:t>
      </w:r>
      <w:r w:rsidR="00A95DEF">
        <w:rPr>
          <w:lang w:val="es-ES"/>
        </w:rPr>
        <w:t>CMRE</w:t>
      </w:r>
      <w:r>
        <w:rPr>
          <w:lang w:val="es-ES"/>
        </w:rPr>
        <w:t xml:space="preserve"> designados para la predicción numérica oceánica a escala mundial figura en la parte III del </w:t>
      </w:r>
      <w:r w:rsidR="00B36420" w:rsidRPr="00B36420">
        <w:rPr>
          <w:i/>
          <w:iCs/>
          <w:lang w:val="es-ES"/>
        </w:rPr>
        <w:t>Manual del GDPFS</w:t>
      </w:r>
      <w:r>
        <w:rPr>
          <w:lang w:val="es-ES"/>
        </w:rPr>
        <w:t xml:space="preserve">. </w:t>
      </w:r>
    </w:p>
    <w:p w14:paraId="30E2B622" w14:textId="4D9866BE" w:rsidR="003E5D1B" w:rsidRPr="008357EA" w:rsidRDefault="00E26782">
      <w:pPr>
        <w:spacing w:before="240" w:after="240"/>
        <w:rPr>
          <w:rFonts w:eastAsia="Verdana" w:cs="Verdana"/>
          <w:color w:val="000000" w:themeColor="text1"/>
          <w:lang w:val="es-419"/>
        </w:rPr>
      </w:pPr>
      <w:r>
        <w:rPr>
          <w:lang w:val="es-ES"/>
        </w:rPr>
        <w:t xml:space="preserve">Cada </w:t>
      </w:r>
      <w:r w:rsidR="00A95DEF">
        <w:rPr>
          <w:lang w:val="es-ES"/>
        </w:rPr>
        <w:t>CMRE</w:t>
      </w:r>
      <w:r>
        <w:rPr>
          <w:lang w:val="es-ES"/>
        </w:rPr>
        <w:t xml:space="preserve"> proporciona productos de predicción numérica oceánica a escala mundial con cobertura mundial. En el GDPFS no hay ningún mecanismo de coordinación entre los </w:t>
      </w:r>
      <w:r w:rsidR="00A95DEF">
        <w:rPr>
          <w:lang w:val="es-ES"/>
        </w:rPr>
        <w:t>CMRE</w:t>
      </w:r>
      <w:r>
        <w:rPr>
          <w:lang w:val="es-ES"/>
        </w:rPr>
        <w:t xml:space="preserve"> que hacen predicciones numéricas oceánicas a escala mundial. </w:t>
      </w:r>
    </w:p>
    <w:p w14:paraId="0471F406" w14:textId="4FE3D2CF" w:rsidR="003E5D1B" w:rsidRPr="008357EA" w:rsidRDefault="00E26782">
      <w:pPr>
        <w:spacing w:before="240" w:after="240"/>
        <w:rPr>
          <w:rFonts w:eastAsia="Verdana" w:cs="Verdana"/>
          <w:color w:val="000000" w:themeColor="text1"/>
          <w:lang w:val="es-419"/>
        </w:rPr>
      </w:pPr>
      <w:r>
        <w:rPr>
          <w:lang w:val="es-ES"/>
        </w:rPr>
        <w:t xml:space="preserve">ii) </w:t>
      </w:r>
      <w:r w:rsidR="00947A8C" w:rsidRPr="00947A8C">
        <w:rPr>
          <w:i/>
          <w:iCs/>
          <w:lang w:val="es-ES"/>
        </w:rPr>
        <w:t>Qué beneficios pueden obtener los CMN de los CMRE y cómo pueden contribuir con ellos</w:t>
      </w:r>
      <w:r>
        <w:rPr>
          <w:lang w:val="es-ES"/>
        </w:rPr>
        <w:t xml:space="preserve"> </w:t>
      </w:r>
    </w:p>
    <w:p w14:paraId="22AB2A1A" w14:textId="0E8DC8FD" w:rsidR="003E5D1B" w:rsidRPr="008357EA" w:rsidRDefault="00E26782">
      <w:pPr>
        <w:spacing w:before="240" w:after="240"/>
        <w:rPr>
          <w:rFonts w:eastAsia="Verdana" w:cs="Verdana"/>
          <w:color w:val="000000" w:themeColor="text1"/>
          <w:lang w:val="es-419"/>
        </w:rPr>
      </w:pPr>
      <w:r>
        <w:rPr>
          <w:lang w:val="es-ES"/>
        </w:rPr>
        <w:t xml:space="preserve">Los </w:t>
      </w:r>
      <w:r w:rsidR="006753E1">
        <w:rPr>
          <w:lang w:val="es-ES"/>
        </w:rPr>
        <w:t>CMN</w:t>
      </w:r>
      <w:r>
        <w:rPr>
          <w:lang w:val="es-ES"/>
        </w:rPr>
        <w:t xml:space="preserve"> pueden utilizar el WIS para acceder a los datos y productos que ponen a disposición los </w:t>
      </w:r>
      <w:r w:rsidR="00A95DEF">
        <w:rPr>
          <w:lang w:val="es-ES"/>
        </w:rPr>
        <w:t>CMRE</w:t>
      </w:r>
      <w:r>
        <w:rPr>
          <w:lang w:val="es-ES"/>
        </w:rPr>
        <w:t xml:space="preserve"> que hacen predicciones numéricas oceánicas a escala mundial. Los metadatos del </w:t>
      </w:r>
      <w:r w:rsidR="001C5219">
        <w:rPr>
          <w:lang w:val="es-ES"/>
        </w:rPr>
        <w:t>WIS</w:t>
      </w:r>
      <w:r>
        <w:rPr>
          <w:lang w:val="es-ES"/>
        </w:rPr>
        <w:t xml:space="preserve"> asociados a cada archivo de datos y productos se obtienen en el </w:t>
      </w:r>
      <w:hyperlink r:id="rId39" w:history="1">
        <w:r w:rsidR="00464890" w:rsidRPr="00464890">
          <w:rPr>
            <w:rStyle w:val="Hyperlink"/>
            <w:lang w:val="es-ES"/>
          </w:rPr>
          <w:t>portal web del GDPFS</w:t>
        </w:r>
      </w:hyperlink>
      <w:r>
        <w:rPr>
          <w:lang w:val="es-ES"/>
        </w:rPr>
        <w:t xml:space="preserve"> seleccionando la predicción numérica oceánica a escala mundial en la lista de actividades.</w:t>
      </w:r>
    </w:p>
    <w:p w14:paraId="1B7AE976" w14:textId="3A39AC48" w:rsidR="003E5D1B" w:rsidRPr="008357EA" w:rsidRDefault="00E26782">
      <w:pPr>
        <w:spacing w:before="240" w:after="240"/>
        <w:rPr>
          <w:rFonts w:eastAsia="Verdana" w:cs="Verdana"/>
          <w:color w:val="000000" w:themeColor="text1"/>
          <w:lang w:val="es-419"/>
        </w:rPr>
      </w:pPr>
      <w:r>
        <w:rPr>
          <w:lang w:val="es-ES"/>
        </w:rPr>
        <w:t xml:space="preserve">Los </w:t>
      </w:r>
      <w:r w:rsidR="006753E1">
        <w:rPr>
          <w:lang w:val="es-ES"/>
        </w:rPr>
        <w:t>CMN</w:t>
      </w:r>
      <w:r>
        <w:rPr>
          <w:lang w:val="es-ES"/>
        </w:rPr>
        <w:t xml:space="preserve"> pueden contribuir a la actividad de los </w:t>
      </w:r>
      <w:r w:rsidR="00A95DEF">
        <w:rPr>
          <w:lang w:val="es-ES"/>
        </w:rPr>
        <w:t>CMRE</w:t>
      </w:r>
      <w:r>
        <w:rPr>
          <w:lang w:val="es-ES"/>
        </w:rPr>
        <w:t xml:space="preserve"> de las siguientes maneras (enumeración no taxativa): 1) proporcionando retroinformación sobre el desempeño y la utilidad de los </w:t>
      </w:r>
      <w:r>
        <w:rPr>
          <w:lang w:val="es-ES"/>
        </w:rPr>
        <w:lastRenderedPageBreak/>
        <w:t xml:space="preserve">modelos respectivos en sus zonas de responsabilidad relacionadas con el mar; 2) haciendo estudios de caso sobre fenómenos concretos relacionados con el mar y transmitiendo esa información a los </w:t>
      </w:r>
      <w:r w:rsidR="00A95DEF">
        <w:rPr>
          <w:lang w:val="es-ES"/>
        </w:rPr>
        <w:t>CMRE</w:t>
      </w:r>
      <w:r>
        <w:rPr>
          <w:lang w:val="es-ES"/>
        </w:rPr>
        <w:t xml:space="preserve">; 3) trabajando con los </w:t>
      </w:r>
      <w:r w:rsidR="00A95DEF">
        <w:rPr>
          <w:lang w:val="es-ES"/>
        </w:rPr>
        <w:t>CMRE</w:t>
      </w:r>
      <w:r>
        <w:rPr>
          <w:lang w:val="es-ES"/>
        </w:rPr>
        <w:t xml:space="preserve"> en avances concretos de los modelos, sobre la base de los resultados de las verificaciones, y 4) proporcionando otros datos observacionales para que se asimilen en los modelos. </w:t>
      </w:r>
    </w:p>
    <w:p w14:paraId="555B0851" w14:textId="480BE1D5" w:rsidR="003E5D1B" w:rsidRPr="008357EA" w:rsidRDefault="00E26782">
      <w:pPr>
        <w:spacing w:before="240" w:after="240"/>
        <w:jc w:val="left"/>
        <w:rPr>
          <w:rFonts w:eastAsia="Verdana" w:cs="Verdana"/>
          <w:color w:val="000000" w:themeColor="text1"/>
          <w:lang w:val="es-419"/>
        </w:rPr>
      </w:pPr>
      <w:r>
        <w:rPr>
          <w:lang w:val="es-ES"/>
        </w:rPr>
        <w:t xml:space="preserve">2.3.1.9.2. </w:t>
      </w:r>
      <w:r w:rsidR="00947A8C" w:rsidRPr="00947A8C">
        <w:rPr>
          <w:i/>
          <w:iCs/>
          <w:lang w:val="es-ES"/>
        </w:rPr>
        <w:t>Esferas de aplicación y servicio que los CMRE podrían respaldar</w:t>
      </w:r>
    </w:p>
    <w:p w14:paraId="205AEAF6" w14:textId="6EDF6E58" w:rsidR="003E5D1B" w:rsidRPr="008357EA" w:rsidRDefault="00E26782">
      <w:pPr>
        <w:spacing w:before="240" w:after="240"/>
        <w:jc w:val="left"/>
        <w:rPr>
          <w:rFonts w:eastAsia="Verdana" w:cs="Verdana"/>
          <w:color w:val="000000" w:themeColor="text1"/>
          <w:lang w:val="es-419"/>
        </w:rPr>
      </w:pPr>
      <w:r>
        <w:rPr>
          <w:lang w:val="es-ES"/>
        </w:rPr>
        <w:t xml:space="preserve">Los productos que </w:t>
      </w:r>
      <w:r w:rsidR="00226D18">
        <w:rPr>
          <w:lang w:val="es-ES"/>
        </w:rPr>
        <w:t>ponen a disposición</w:t>
      </w:r>
      <w:r>
        <w:rPr>
          <w:lang w:val="es-ES"/>
        </w:rPr>
        <w:t xml:space="preserve"> los </w:t>
      </w:r>
      <w:r w:rsidR="00A95DEF">
        <w:rPr>
          <w:lang w:val="es-ES"/>
        </w:rPr>
        <w:t>CMRE</w:t>
      </w:r>
      <w:r>
        <w:rPr>
          <w:lang w:val="es-ES"/>
        </w:rPr>
        <w:t xml:space="preserve"> que realizan predicciones numéricas oceánicas a escala mundial respaldan las siguientes esferas:</w:t>
      </w:r>
    </w:p>
    <w:p w14:paraId="5AF4A98B" w14:textId="77777777" w:rsidR="003E5D1B" w:rsidRPr="008357EA" w:rsidRDefault="00E26782">
      <w:pPr>
        <w:widowControl w:val="0"/>
        <w:numPr>
          <w:ilvl w:val="0"/>
          <w:numId w:val="36"/>
        </w:numPr>
        <w:tabs>
          <w:tab w:val="clear" w:pos="1134"/>
        </w:tabs>
        <w:spacing w:before="240" w:after="240"/>
        <w:jc w:val="left"/>
        <w:rPr>
          <w:rFonts w:eastAsia="Verdana" w:cs="Verdana"/>
          <w:lang w:val="es-419"/>
        </w:rPr>
      </w:pPr>
      <w:r>
        <w:rPr>
          <w:lang w:val="es-ES"/>
        </w:rPr>
        <w:t>Servicios meteorológicos marinos y aplicaciones oceánicas que respaldan la seguridad marítima, la protección del medio marino, la búsqueda y salvamento, la pesca y otras.</w:t>
      </w:r>
    </w:p>
    <w:p w14:paraId="771932F4" w14:textId="77777777" w:rsidR="003E5D1B" w:rsidRPr="008357EA" w:rsidRDefault="00E26782">
      <w:pPr>
        <w:widowControl w:val="0"/>
        <w:numPr>
          <w:ilvl w:val="0"/>
          <w:numId w:val="36"/>
        </w:numPr>
        <w:tabs>
          <w:tab w:val="clear" w:pos="1134"/>
        </w:tabs>
        <w:spacing w:before="240" w:after="240"/>
        <w:jc w:val="left"/>
        <w:rPr>
          <w:rFonts w:eastAsia="Verdana" w:cs="Verdana"/>
          <w:lang w:val="es-419"/>
        </w:rPr>
      </w:pPr>
      <w:r>
        <w:rPr>
          <w:lang w:val="es-ES"/>
        </w:rPr>
        <w:t>Sistemas de alerta temprana de peligros múltiples.</w:t>
      </w:r>
    </w:p>
    <w:p w14:paraId="1CC4A557" w14:textId="7603EA24" w:rsidR="003E5D1B" w:rsidRPr="008357EA" w:rsidRDefault="00E26782">
      <w:pPr>
        <w:spacing w:before="240" w:after="240"/>
        <w:jc w:val="left"/>
        <w:rPr>
          <w:rFonts w:eastAsia="Verdana" w:cs="Verdana"/>
          <w:color w:val="000000" w:themeColor="text1"/>
          <w:lang w:val="es-419"/>
        </w:rPr>
      </w:pPr>
      <w:r>
        <w:rPr>
          <w:lang w:val="es-ES"/>
        </w:rPr>
        <w:t xml:space="preserve">2.3.1.9.3. </w:t>
      </w:r>
      <w:r w:rsidR="008B0C15" w:rsidRPr="008B0C15">
        <w:rPr>
          <w:i/>
          <w:iCs/>
          <w:lang w:val="es-ES"/>
        </w:rPr>
        <w:t>Recomendaciones sobre la integración en el proceso nacional de predicción</w:t>
      </w:r>
    </w:p>
    <w:p w14:paraId="3F07C742" w14:textId="7B8FFA85" w:rsidR="003E5D1B" w:rsidRPr="008357EA" w:rsidRDefault="00E26782">
      <w:pPr>
        <w:spacing w:before="240" w:after="240"/>
        <w:jc w:val="left"/>
        <w:rPr>
          <w:rFonts w:eastAsia="Verdana" w:cs="Verdana"/>
          <w:color w:val="000000" w:themeColor="text1"/>
          <w:lang w:val="es-419"/>
        </w:rPr>
      </w:pPr>
      <w:r>
        <w:rPr>
          <w:lang w:val="es-ES"/>
        </w:rPr>
        <w:t xml:space="preserve">En su calidad de actividad especializada, se recomienda aplicar los siguientes pasos para integrar los productos de los </w:t>
      </w:r>
      <w:r w:rsidR="00A95DEF">
        <w:rPr>
          <w:lang w:val="es-ES"/>
        </w:rPr>
        <w:t>CMRE</w:t>
      </w:r>
      <w:r>
        <w:rPr>
          <w:lang w:val="es-ES"/>
        </w:rPr>
        <w:t xml:space="preserve"> que hacen predicciones numéricas oceánicas a escala mundial en el proceso nacional de predicción: </w:t>
      </w:r>
    </w:p>
    <w:p w14:paraId="287401D9" w14:textId="4353DA72" w:rsidR="003E5D1B" w:rsidRPr="008357EA" w:rsidRDefault="00B03888">
      <w:pPr>
        <w:widowControl w:val="0"/>
        <w:numPr>
          <w:ilvl w:val="0"/>
          <w:numId w:val="3"/>
        </w:numPr>
        <w:tabs>
          <w:tab w:val="clear" w:pos="1134"/>
        </w:tabs>
        <w:spacing w:before="240" w:after="240"/>
        <w:jc w:val="left"/>
        <w:rPr>
          <w:rFonts w:eastAsia="Verdana" w:cs="Verdana"/>
          <w:lang w:val="es-419"/>
        </w:rPr>
      </w:pPr>
      <w:r>
        <w:rPr>
          <w:lang w:val="es-ES"/>
        </w:rPr>
        <w:t>Analizar y vigilar de forma continua las condiciones meteorológicas marinas y oceánicas mediante observaciones locales y por teledetección.</w:t>
      </w:r>
    </w:p>
    <w:p w14:paraId="0577B7A1" w14:textId="77777777" w:rsidR="003E5D1B" w:rsidRPr="008357EA" w:rsidRDefault="00E26782">
      <w:pPr>
        <w:widowControl w:val="0"/>
        <w:numPr>
          <w:ilvl w:val="0"/>
          <w:numId w:val="3"/>
        </w:numPr>
        <w:tabs>
          <w:tab w:val="clear" w:pos="1134"/>
        </w:tabs>
        <w:spacing w:before="240" w:after="240"/>
        <w:jc w:val="left"/>
        <w:rPr>
          <w:rFonts w:eastAsia="Verdana" w:cs="Verdana"/>
          <w:lang w:val="es-419"/>
        </w:rPr>
      </w:pPr>
      <w:r>
        <w:rPr>
          <w:lang w:val="es-ES"/>
        </w:rPr>
        <w:t>Evaluar la calidad de los análisis oceánicos en función de las observaciones disponibles.</w:t>
      </w:r>
    </w:p>
    <w:p w14:paraId="5CCC4E23" w14:textId="2DC0CECF" w:rsidR="003E5D1B" w:rsidRPr="008357EA" w:rsidRDefault="00E26782">
      <w:pPr>
        <w:widowControl w:val="0"/>
        <w:numPr>
          <w:ilvl w:val="0"/>
          <w:numId w:val="3"/>
        </w:numPr>
        <w:tabs>
          <w:tab w:val="clear" w:pos="1134"/>
        </w:tabs>
        <w:spacing w:before="240" w:after="240"/>
        <w:jc w:val="left"/>
        <w:rPr>
          <w:rFonts w:eastAsia="Verdana" w:cs="Verdana"/>
          <w:lang w:val="es-419"/>
        </w:rPr>
      </w:pPr>
      <w:r>
        <w:rPr>
          <w:lang w:val="es-ES"/>
        </w:rPr>
        <w:t xml:space="preserve">Describir las características de los océanos utilizando los productos de los </w:t>
      </w:r>
      <w:r w:rsidR="00A95DEF">
        <w:rPr>
          <w:lang w:val="es-ES"/>
        </w:rPr>
        <w:t>CMRE</w:t>
      </w:r>
      <w:r>
        <w:rPr>
          <w:lang w:val="es-ES"/>
        </w:rPr>
        <w:t xml:space="preserve"> que hacen predicciones numéricas oceánicas a escala mundial.</w:t>
      </w:r>
    </w:p>
    <w:p w14:paraId="24DE8CD4" w14:textId="671B6ED9" w:rsidR="003E5D1B" w:rsidRPr="008357EA" w:rsidRDefault="00E26782">
      <w:pPr>
        <w:spacing w:before="240" w:after="240"/>
        <w:jc w:val="left"/>
        <w:rPr>
          <w:rFonts w:eastAsia="Verdana" w:cs="Verdana"/>
          <w:color w:val="000000" w:themeColor="text1"/>
          <w:lang w:val="es-419"/>
        </w:rPr>
      </w:pPr>
      <w:r>
        <w:rPr>
          <w:lang w:val="es-ES"/>
        </w:rPr>
        <w:t>2.3.1.9.4</w:t>
      </w:r>
      <w:r w:rsidR="0038717F">
        <w:rPr>
          <w:lang w:val="es-ES"/>
        </w:rPr>
        <w:t xml:space="preserve">. </w:t>
      </w:r>
      <w:r w:rsidR="00947A8C" w:rsidRPr="00947A8C">
        <w:rPr>
          <w:i/>
          <w:iCs/>
          <w:lang w:val="es-ES"/>
        </w:rPr>
        <w:t>Mecanismo de retroinformación sobre la utilidad y exactitud de los productos</w:t>
      </w:r>
    </w:p>
    <w:p w14:paraId="08CD5B04" w14:textId="703498F8" w:rsidR="003E5D1B" w:rsidRPr="00662546" w:rsidRDefault="00E26782">
      <w:pPr>
        <w:spacing w:before="240" w:after="240"/>
        <w:jc w:val="left"/>
        <w:rPr>
          <w:rFonts w:eastAsia="Verdana" w:cs="Verdana"/>
          <w:color w:val="000000" w:themeColor="text1"/>
          <w:lang w:val="es-419"/>
        </w:rPr>
      </w:pPr>
      <w:r>
        <w:rPr>
          <w:lang w:val="es-ES"/>
        </w:rPr>
        <w:t xml:space="preserve">Se anima a los </w:t>
      </w:r>
      <w:r w:rsidR="006753E1">
        <w:rPr>
          <w:lang w:val="es-ES"/>
        </w:rPr>
        <w:t>CMN</w:t>
      </w:r>
      <w:r>
        <w:rPr>
          <w:lang w:val="es-ES"/>
        </w:rPr>
        <w:t xml:space="preserve"> a verificar los productos de predicción numérica oceánica a escala mundial y a brindar retroinformación sobre la utilidad y la exactitud de esos productos a los </w:t>
      </w:r>
      <w:r w:rsidR="00A95DEF">
        <w:rPr>
          <w:lang w:val="es-ES"/>
        </w:rPr>
        <w:t>CMRE</w:t>
      </w:r>
      <w:r>
        <w:rPr>
          <w:lang w:val="es-ES"/>
        </w:rPr>
        <w:t xml:space="preserve"> que </w:t>
      </w:r>
      <w:r w:rsidRPr="00662546">
        <w:rPr>
          <w:lang w:val="es-ES"/>
        </w:rPr>
        <w:t>los elaboraron.</w:t>
      </w:r>
    </w:p>
    <w:p w14:paraId="49294C32" w14:textId="3E50812B" w:rsidR="003E5D1B" w:rsidRPr="00662546" w:rsidRDefault="00E26782">
      <w:pPr>
        <w:keepNext/>
        <w:spacing w:before="240" w:after="240" w:line="240" w:lineRule="exact"/>
        <w:ind w:left="1123" w:hanging="1123"/>
        <w:outlineLvl w:val="5"/>
        <w:rPr>
          <w:rFonts w:eastAsiaTheme="minorEastAsia" w:cstheme="majorBidi"/>
          <w:b/>
          <w:bCs/>
          <w:i/>
          <w:iCs/>
          <w:color w:val="000000" w:themeColor="text1"/>
          <w:lang w:val="es-419"/>
        </w:rPr>
      </w:pPr>
      <w:bookmarkStart w:id="139" w:name="_Toc113003321"/>
      <w:bookmarkStart w:id="140" w:name="_Toc113024446"/>
      <w:bookmarkStart w:id="141" w:name="_Toc117501978"/>
      <w:r w:rsidRPr="00662546">
        <w:rPr>
          <w:b/>
          <w:bCs/>
          <w:i/>
          <w:iCs/>
          <w:lang w:val="es-ES"/>
        </w:rPr>
        <w:t>2.3.1.10</w:t>
      </w:r>
      <w:r w:rsidRPr="00662546">
        <w:rPr>
          <w:lang w:val="es-ES"/>
        </w:rPr>
        <w:tab/>
      </w:r>
      <w:r w:rsidRPr="00662546">
        <w:rPr>
          <w:b/>
          <w:bCs/>
          <w:i/>
          <w:iCs/>
          <w:lang w:val="es-ES"/>
        </w:rPr>
        <w:t xml:space="preserve">Predicción inmediata </w:t>
      </w:r>
      <w:bookmarkEnd w:id="139"/>
      <w:bookmarkEnd w:id="140"/>
      <w:bookmarkEnd w:id="141"/>
    </w:p>
    <w:p w14:paraId="505CE64A" w14:textId="31194431" w:rsidR="003E5D1B" w:rsidRPr="00662546" w:rsidRDefault="00E26782">
      <w:pPr>
        <w:spacing w:after="240" w:line="240" w:lineRule="exact"/>
        <w:rPr>
          <w:rFonts w:eastAsiaTheme="minorEastAsia" w:cstheme="majorBidi"/>
          <w:b/>
          <w:bCs/>
          <w:color w:val="000000" w:themeColor="text1"/>
          <w:lang w:val="es-419"/>
        </w:rPr>
      </w:pPr>
      <w:r w:rsidRPr="00662546">
        <w:rPr>
          <w:lang w:val="es-ES"/>
        </w:rPr>
        <w:t xml:space="preserve">2.3.1.10.1 </w:t>
      </w:r>
      <w:r w:rsidR="00947A8C" w:rsidRPr="00947A8C">
        <w:rPr>
          <w:i/>
          <w:iCs/>
          <w:lang w:val="es-ES"/>
        </w:rPr>
        <w:t>Resumen general de la actividad de los CMRE</w:t>
      </w:r>
      <w:r w:rsidR="00947A8C">
        <w:rPr>
          <w:lang w:val="es-ES"/>
        </w:rPr>
        <w:t xml:space="preserve"> </w:t>
      </w:r>
    </w:p>
    <w:p w14:paraId="16FB93B4" w14:textId="3796B706" w:rsidR="003E5D1B" w:rsidRPr="008357EA" w:rsidRDefault="00E26782">
      <w:pPr>
        <w:spacing w:after="240" w:line="240" w:lineRule="exact"/>
        <w:rPr>
          <w:rFonts w:eastAsiaTheme="minorEastAsia" w:cstheme="majorBidi"/>
          <w:b/>
          <w:bCs/>
          <w:color w:val="000000" w:themeColor="text1"/>
          <w:lang w:val="es-419"/>
        </w:rPr>
      </w:pPr>
      <w:r w:rsidRPr="00662546">
        <w:rPr>
          <w:lang w:val="es-ES"/>
        </w:rPr>
        <w:t xml:space="preserve">En los últimos </w:t>
      </w:r>
      <w:r w:rsidR="00662546" w:rsidRPr="00662546">
        <w:rPr>
          <w:lang w:val="es-ES"/>
        </w:rPr>
        <w:t xml:space="preserve">dos </w:t>
      </w:r>
      <w:r w:rsidRPr="00662546">
        <w:rPr>
          <w:lang w:val="es-ES"/>
        </w:rPr>
        <w:t xml:space="preserve">decenios se han perfeccionado notablemente las técnicas de predicción inmediata destinadas a producir análisis y predicciones del tiempo de alta resolución </w:t>
      </w:r>
      <w:r w:rsidR="00662546">
        <w:rPr>
          <w:lang w:val="es-ES"/>
        </w:rPr>
        <w:t>correspondientes</w:t>
      </w:r>
      <w:r w:rsidRPr="00662546">
        <w:rPr>
          <w:lang w:val="es-ES"/>
        </w:rPr>
        <w:t xml:space="preserve"> a las horas siguientes. Los procesos meteorológicos </w:t>
      </w:r>
      <w:r w:rsidR="00411305">
        <w:rPr>
          <w:lang w:val="es-ES"/>
        </w:rPr>
        <w:t>adversos</w:t>
      </w:r>
      <w:r w:rsidRPr="00662546">
        <w:rPr>
          <w:lang w:val="es-ES"/>
        </w:rPr>
        <w:t xml:space="preserve"> o de alto impacto, como las lluvias fuertes, las inundaciones o el granizo, pueden monitorearse con más eficacia gracias a los avances en los instrumentos de observación</w:t>
      </w:r>
      <w:r>
        <w:rPr>
          <w:lang w:val="es-ES"/>
        </w:rPr>
        <w:t xml:space="preserve"> y las plataformas de teledetección</w:t>
      </w:r>
      <w:r w:rsidR="0038717F">
        <w:rPr>
          <w:lang w:val="es-ES"/>
        </w:rPr>
        <w:t xml:space="preserve">. </w:t>
      </w:r>
      <w:r>
        <w:rPr>
          <w:lang w:val="es-ES"/>
        </w:rPr>
        <w:t>Los datos y los productos de predicción inmediata son indispensables para facilitar los procesos de toma de decisiones, así como la gestión y la reducción de los desastres o los riesgos.</w:t>
      </w:r>
    </w:p>
    <w:p w14:paraId="4C5E2CAB" w14:textId="7264F7AC" w:rsidR="003E5D1B" w:rsidRPr="008357EA" w:rsidRDefault="00E26782">
      <w:pPr>
        <w:spacing w:after="240" w:line="240" w:lineRule="exact"/>
        <w:rPr>
          <w:rFonts w:eastAsiaTheme="minorEastAsia" w:cstheme="majorBidi"/>
          <w:b/>
          <w:bCs/>
          <w:color w:val="000000" w:themeColor="text1"/>
          <w:lang w:val="es-419"/>
        </w:rPr>
      </w:pPr>
      <w:r>
        <w:rPr>
          <w:lang w:val="es-ES"/>
        </w:rPr>
        <w:t xml:space="preserve">Los </w:t>
      </w:r>
      <w:r w:rsidR="00A95DEF">
        <w:rPr>
          <w:lang w:val="es-ES"/>
        </w:rPr>
        <w:t>CMRE</w:t>
      </w:r>
      <w:r>
        <w:rPr>
          <w:lang w:val="es-ES"/>
        </w:rPr>
        <w:t xml:space="preserve"> que se </w:t>
      </w:r>
      <w:r w:rsidR="00340868">
        <w:rPr>
          <w:lang w:val="es-ES"/>
        </w:rPr>
        <w:t>ocupan de</w:t>
      </w:r>
      <w:r>
        <w:rPr>
          <w:lang w:val="es-ES"/>
        </w:rPr>
        <w:t xml:space="preserve"> la predicción inmediata se encargan de proporcionar análisis y predicciones </w:t>
      </w:r>
      <w:r w:rsidR="00340868">
        <w:rPr>
          <w:lang w:val="es-ES"/>
        </w:rPr>
        <w:t>correspondientes</w:t>
      </w:r>
      <w:r>
        <w:rPr>
          <w:lang w:val="es-ES"/>
        </w:rPr>
        <w:t xml:space="preserve"> a las horas siguientes</w:t>
      </w:r>
      <w:r w:rsidR="0038717F">
        <w:rPr>
          <w:lang w:val="es-ES"/>
        </w:rPr>
        <w:t xml:space="preserve">. </w:t>
      </w:r>
      <w:r>
        <w:rPr>
          <w:lang w:val="es-ES"/>
        </w:rPr>
        <w:t xml:space="preserve">Los parámetros meteorológicos que los </w:t>
      </w:r>
      <w:r w:rsidR="00A95DEF">
        <w:rPr>
          <w:lang w:val="es-ES"/>
        </w:rPr>
        <w:t>CMRE</w:t>
      </w:r>
      <w:r>
        <w:rPr>
          <w:lang w:val="es-ES"/>
        </w:rPr>
        <w:t xml:space="preserve"> ponen a disposición, como la estimación cuantitativa de la precipitación, la predicción cuantitativa de esta, el potencial de lluvia fuerte, el nefoanálisis (la altura de la cima de las nubes y los tipos de nubes), las ráfagas de viento inducidas por tormentas, los parámetros de estabilidad y otros, brindan información útil para </w:t>
      </w:r>
      <w:r w:rsidR="00F95C35">
        <w:rPr>
          <w:lang w:val="es-ES"/>
        </w:rPr>
        <w:t>elaborar</w:t>
      </w:r>
      <w:r>
        <w:rPr>
          <w:lang w:val="es-ES"/>
        </w:rPr>
        <w:t xml:space="preserve"> predicciones o avisos sobre condiciones meteorológicas extremas o de alto impacto.</w:t>
      </w:r>
    </w:p>
    <w:p w14:paraId="53E47283" w14:textId="312B41B9" w:rsidR="003E5D1B" w:rsidRPr="008357EA" w:rsidRDefault="00E26782">
      <w:pPr>
        <w:spacing w:after="240" w:line="240" w:lineRule="exact"/>
        <w:rPr>
          <w:rFonts w:eastAsia="Calibri" w:cs="Times New Roman"/>
          <w:b/>
          <w:bCs/>
          <w:lang w:val="es-419"/>
        </w:rPr>
      </w:pPr>
      <w:r>
        <w:rPr>
          <w:lang w:val="es-ES"/>
        </w:rPr>
        <w:lastRenderedPageBreak/>
        <w:t xml:space="preserve">i) </w:t>
      </w:r>
      <w:r w:rsidR="00947A8C" w:rsidRPr="00947A8C">
        <w:rPr>
          <w:i/>
          <w:iCs/>
          <w:lang w:val="es-ES"/>
        </w:rPr>
        <w:t>Centros designados y modalidad de trabajo</w:t>
      </w:r>
    </w:p>
    <w:p w14:paraId="7E09F5FC" w14:textId="09E01C56" w:rsidR="003E5D1B" w:rsidRPr="008357EA" w:rsidRDefault="00E26782">
      <w:pPr>
        <w:spacing w:after="240" w:line="240" w:lineRule="exact"/>
        <w:rPr>
          <w:rFonts w:eastAsia="Verdana" w:cs="Verdana"/>
          <w:color w:val="000000" w:themeColor="text1"/>
          <w:lang w:val="es-419"/>
        </w:rPr>
      </w:pPr>
      <w:r>
        <w:rPr>
          <w:lang w:val="es-ES"/>
        </w:rPr>
        <w:t xml:space="preserve">La lista de los </w:t>
      </w:r>
      <w:r w:rsidR="00A95DEF">
        <w:rPr>
          <w:lang w:val="es-ES"/>
        </w:rPr>
        <w:t>CMRE</w:t>
      </w:r>
      <w:r>
        <w:rPr>
          <w:lang w:val="es-ES"/>
        </w:rPr>
        <w:t xml:space="preserve"> designados para la predicción inmediata figura en la parte III del </w:t>
      </w:r>
      <w:r w:rsidR="00B36420" w:rsidRPr="00B36420">
        <w:rPr>
          <w:i/>
          <w:iCs/>
          <w:lang w:val="es-ES"/>
        </w:rPr>
        <w:t>Manual del GDPFS</w:t>
      </w:r>
      <w:r>
        <w:rPr>
          <w:lang w:val="es-ES"/>
        </w:rPr>
        <w:t xml:space="preserve">. En el </w:t>
      </w:r>
      <w:hyperlink r:id="rId40" w:history="1">
        <w:r w:rsidR="00464890" w:rsidRPr="00464890">
          <w:rPr>
            <w:rStyle w:val="Hyperlink"/>
            <w:lang w:val="es-ES"/>
          </w:rPr>
          <w:t>portal web del GDPFS</w:t>
        </w:r>
      </w:hyperlink>
      <w:r>
        <w:rPr>
          <w:lang w:val="es-ES"/>
        </w:rPr>
        <w:t xml:space="preserve"> hay hipervínculos e información sobre los </w:t>
      </w:r>
      <w:r w:rsidR="00A95DEF">
        <w:rPr>
          <w:lang w:val="es-ES"/>
        </w:rPr>
        <w:t>CMRE</w:t>
      </w:r>
      <w:r>
        <w:rPr>
          <w:lang w:val="es-ES"/>
        </w:rPr>
        <w:t xml:space="preserve"> que se </w:t>
      </w:r>
      <w:r w:rsidR="00F95C35">
        <w:rPr>
          <w:lang w:val="es-ES"/>
        </w:rPr>
        <w:t>ocupan de</w:t>
      </w:r>
      <w:r>
        <w:rPr>
          <w:lang w:val="es-ES"/>
        </w:rPr>
        <w:t xml:space="preserve"> la predicción inmediata.</w:t>
      </w:r>
    </w:p>
    <w:p w14:paraId="5F2EC20D" w14:textId="6E561E8D" w:rsidR="003E5D1B" w:rsidRPr="008357EA" w:rsidRDefault="00E26782">
      <w:pPr>
        <w:spacing w:after="240" w:line="240" w:lineRule="exact"/>
        <w:rPr>
          <w:rFonts w:eastAsia="Calibri" w:cs="Times New Roman"/>
          <w:b/>
          <w:bCs/>
          <w:lang w:val="es-419"/>
        </w:rPr>
      </w:pPr>
      <w:r>
        <w:rPr>
          <w:lang w:val="es-ES"/>
        </w:rPr>
        <w:t xml:space="preserve">Cada uno de los </w:t>
      </w:r>
      <w:r w:rsidR="00A95DEF">
        <w:rPr>
          <w:lang w:val="es-ES"/>
        </w:rPr>
        <w:t>CMRE</w:t>
      </w:r>
      <w:r>
        <w:rPr>
          <w:lang w:val="es-ES"/>
        </w:rPr>
        <w:t xml:space="preserve"> proporciona datos y productos con cobertura regional correspondiente a la zona que abarca su respectivo sistema (o sistemas) de predicción inmediata</w:t>
      </w:r>
      <w:r w:rsidR="0038717F">
        <w:rPr>
          <w:lang w:val="es-ES"/>
        </w:rPr>
        <w:t xml:space="preserve">. </w:t>
      </w:r>
      <w:r>
        <w:rPr>
          <w:lang w:val="es-ES"/>
        </w:rPr>
        <w:t xml:space="preserve">No es necesario que los </w:t>
      </w:r>
      <w:r w:rsidR="00A95DEF">
        <w:rPr>
          <w:lang w:val="es-ES"/>
        </w:rPr>
        <w:t>CMRE</w:t>
      </w:r>
      <w:r>
        <w:rPr>
          <w:lang w:val="es-ES"/>
        </w:rPr>
        <w:t xml:space="preserve"> se coordinen. </w:t>
      </w:r>
      <w:r w:rsidR="00F95C35">
        <w:rPr>
          <w:lang w:val="es-ES"/>
        </w:rPr>
        <w:t>Los</w:t>
      </w:r>
      <w:r>
        <w:rPr>
          <w:lang w:val="es-ES"/>
        </w:rPr>
        <w:t xml:space="preserve"> </w:t>
      </w:r>
      <w:r w:rsidR="00A95DEF">
        <w:rPr>
          <w:lang w:val="es-ES"/>
        </w:rPr>
        <w:t>CMRE</w:t>
      </w:r>
      <w:r>
        <w:rPr>
          <w:lang w:val="es-ES"/>
        </w:rPr>
        <w:t xml:space="preserve"> </w:t>
      </w:r>
      <w:r w:rsidR="00F95C35">
        <w:rPr>
          <w:lang w:val="es-ES"/>
        </w:rPr>
        <w:t>emplearán</w:t>
      </w:r>
      <w:r>
        <w:rPr>
          <w:lang w:val="es-ES"/>
        </w:rPr>
        <w:t xml:space="preserve"> un sistema con productos gráficos genéricos basados en la web o un servicio de un sistema de información geográfica en la web que describa las condiciones meteorológicas actuales y la predicción de cómo </w:t>
      </w:r>
      <w:r w:rsidR="00F95C35">
        <w:rPr>
          <w:lang w:val="es-ES"/>
        </w:rPr>
        <w:t xml:space="preserve">estas </w:t>
      </w:r>
      <w:r>
        <w:rPr>
          <w:lang w:val="es-ES"/>
        </w:rPr>
        <w:t xml:space="preserve">se modificarán en las horas siguientes en </w:t>
      </w:r>
      <w:r w:rsidR="00F95C35">
        <w:rPr>
          <w:lang w:val="es-ES"/>
        </w:rPr>
        <w:t>la</w:t>
      </w:r>
      <w:r>
        <w:rPr>
          <w:lang w:val="es-ES"/>
        </w:rPr>
        <w:t xml:space="preserve"> zona de interés</w:t>
      </w:r>
      <w:r w:rsidR="0038717F">
        <w:rPr>
          <w:lang w:val="es-ES"/>
        </w:rPr>
        <w:t xml:space="preserve">. </w:t>
      </w:r>
      <w:r>
        <w:rPr>
          <w:lang w:val="es-ES"/>
        </w:rPr>
        <w:t xml:space="preserve">Los </w:t>
      </w:r>
      <w:r w:rsidR="00A95DEF">
        <w:rPr>
          <w:lang w:val="es-ES"/>
        </w:rPr>
        <w:t>CMRE</w:t>
      </w:r>
      <w:r>
        <w:rPr>
          <w:lang w:val="es-ES"/>
        </w:rPr>
        <w:t xml:space="preserve"> deben preparar estadísticas de verificación y evaluaciones del sistema de predicción inmediata</w:t>
      </w:r>
      <w:r w:rsidR="0038717F">
        <w:rPr>
          <w:lang w:val="es-ES"/>
        </w:rPr>
        <w:t xml:space="preserve">. </w:t>
      </w:r>
      <w:r>
        <w:rPr>
          <w:lang w:val="es-ES"/>
        </w:rPr>
        <w:t xml:space="preserve">Los </w:t>
      </w:r>
      <w:r w:rsidR="00A95DEF">
        <w:rPr>
          <w:lang w:val="es-ES"/>
        </w:rPr>
        <w:t>CMRE</w:t>
      </w:r>
      <w:r>
        <w:rPr>
          <w:lang w:val="es-ES"/>
        </w:rPr>
        <w:t xml:space="preserve"> deberían poner a disposición en un sitio web la información y las actualizaciones sobre las características de sus sistemas de conformidad con el apéndice 2.2.15 de la parte II del </w:t>
      </w:r>
      <w:r w:rsidR="00B36420" w:rsidRPr="00B36420">
        <w:rPr>
          <w:i/>
          <w:iCs/>
          <w:lang w:val="es-ES"/>
        </w:rPr>
        <w:t>Manual del GDPFS</w:t>
      </w:r>
      <w:r>
        <w:rPr>
          <w:lang w:val="es-ES"/>
        </w:rPr>
        <w:t>.</w:t>
      </w:r>
    </w:p>
    <w:p w14:paraId="1FD75028" w14:textId="15C324AA" w:rsidR="003E5D1B" w:rsidRPr="008357EA" w:rsidRDefault="00E26782">
      <w:pPr>
        <w:spacing w:after="240" w:line="240" w:lineRule="exact"/>
        <w:rPr>
          <w:rFonts w:eastAsia="Calibri" w:cs="Times New Roman"/>
          <w:b/>
          <w:bCs/>
          <w:lang w:val="es-419"/>
        </w:rPr>
      </w:pPr>
      <w:r>
        <w:rPr>
          <w:lang w:val="es-ES"/>
        </w:rPr>
        <w:t xml:space="preserve">ii) </w:t>
      </w:r>
      <w:r w:rsidR="00947A8C" w:rsidRPr="00947A8C">
        <w:rPr>
          <w:i/>
          <w:iCs/>
          <w:lang w:val="es-ES"/>
        </w:rPr>
        <w:t>Qué beneficios pueden obtener los CMN de los CMRE y cómo pueden contribuir con ellos</w:t>
      </w:r>
      <w:r>
        <w:rPr>
          <w:lang w:val="es-ES"/>
        </w:rPr>
        <w:t xml:space="preserve"> </w:t>
      </w:r>
    </w:p>
    <w:p w14:paraId="222AC36F" w14:textId="5D1FBDCC" w:rsidR="003E5D1B" w:rsidRPr="008357EA" w:rsidRDefault="00E26782">
      <w:pPr>
        <w:spacing w:after="240" w:line="240" w:lineRule="exact"/>
        <w:rPr>
          <w:rFonts w:eastAsiaTheme="minorEastAsia" w:cs="Times New Roman"/>
          <w:b/>
          <w:bCs/>
          <w:lang w:val="es-419"/>
        </w:rPr>
      </w:pPr>
      <w:r>
        <w:rPr>
          <w:lang w:val="es-ES"/>
        </w:rPr>
        <w:t xml:space="preserve">Los </w:t>
      </w:r>
      <w:r w:rsidR="006753E1">
        <w:rPr>
          <w:lang w:val="es-ES"/>
        </w:rPr>
        <w:t>CMN</w:t>
      </w:r>
      <w:r>
        <w:rPr>
          <w:lang w:val="es-ES"/>
        </w:rPr>
        <w:t xml:space="preserve"> pueden acceder a los datos y productos de predicción inmediata que los </w:t>
      </w:r>
      <w:r w:rsidR="00A95DEF">
        <w:rPr>
          <w:lang w:val="es-ES"/>
        </w:rPr>
        <w:t>CMRE</w:t>
      </w:r>
      <w:r>
        <w:rPr>
          <w:lang w:val="es-ES"/>
        </w:rPr>
        <w:t xml:space="preserve"> </w:t>
      </w:r>
      <w:r w:rsidR="006A319F">
        <w:rPr>
          <w:lang w:val="es-ES"/>
        </w:rPr>
        <w:t>facilitan</w:t>
      </w:r>
      <w:r>
        <w:rPr>
          <w:lang w:val="es-ES"/>
        </w:rPr>
        <w:t xml:space="preserve"> a través de sus productos gráficos genéricos o visualización gráfica en la web. Las actualizaciones de los datos y productos se publicarán en el sitio web de los </w:t>
      </w:r>
      <w:r w:rsidR="00A95DEF">
        <w:rPr>
          <w:lang w:val="es-ES"/>
        </w:rPr>
        <w:t>CMRE</w:t>
      </w:r>
      <w:r>
        <w:rPr>
          <w:lang w:val="es-ES"/>
        </w:rPr>
        <w:t xml:space="preserve"> y en el </w:t>
      </w:r>
      <w:r w:rsidR="00464890" w:rsidRPr="0000684E">
        <w:rPr>
          <w:lang w:val="es-ES"/>
        </w:rPr>
        <w:t>portal web del GDPFS</w:t>
      </w:r>
      <w:r>
        <w:rPr>
          <w:lang w:val="es-ES"/>
        </w:rPr>
        <w:t>.</w:t>
      </w:r>
    </w:p>
    <w:p w14:paraId="5D9835F1" w14:textId="7C2C1906" w:rsidR="003E5D1B" w:rsidRPr="008357EA" w:rsidRDefault="00E26782">
      <w:pPr>
        <w:spacing w:after="240" w:line="240" w:lineRule="exact"/>
        <w:rPr>
          <w:rFonts w:eastAsiaTheme="minorEastAsia" w:cs="Times New Roman"/>
          <w:b/>
          <w:bCs/>
          <w:lang w:val="es-419"/>
        </w:rPr>
      </w:pPr>
      <w:r>
        <w:rPr>
          <w:lang w:val="es-ES"/>
        </w:rPr>
        <w:t xml:space="preserve">Se anima a los </w:t>
      </w:r>
      <w:r w:rsidR="006753E1">
        <w:rPr>
          <w:lang w:val="es-ES"/>
        </w:rPr>
        <w:t>CMN</w:t>
      </w:r>
      <w:r>
        <w:rPr>
          <w:lang w:val="es-ES"/>
        </w:rPr>
        <w:t xml:space="preserve"> a contribuir a las actividades de los </w:t>
      </w:r>
      <w:r w:rsidR="00A95DEF">
        <w:rPr>
          <w:lang w:val="es-ES"/>
        </w:rPr>
        <w:t>CMRE</w:t>
      </w:r>
      <w:r>
        <w:rPr>
          <w:lang w:val="es-ES"/>
        </w:rPr>
        <w:t xml:space="preserve"> </w:t>
      </w:r>
      <w:r w:rsidR="000872B9">
        <w:rPr>
          <w:lang w:val="es-ES"/>
        </w:rPr>
        <w:t>que se ocupan de</w:t>
      </w:r>
      <w:r>
        <w:rPr>
          <w:lang w:val="es-ES"/>
        </w:rPr>
        <w:t xml:space="preserve"> la predicción inmediata de las siguientes maneras (enumeración no taxativa): a) verificando los datos y los productos de predicción inmediata en sus países y brindando retroinformación al respecto, en particular sobre los procesos meteorológicos de alto impacto, como los sistemas convectivos mesoescalares significativos y los ciclones tropicales; b) haciendo </w:t>
      </w:r>
      <w:r w:rsidR="000E0B5A">
        <w:rPr>
          <w:lang w:val="es-ES"/>
        </w:rPr>
        <w:t>estudios de caso</w:t>
      </w:r>
      <w:r>
        <w:rPr>
          <w:lang w:val="es-ES"/>
        </w:rPr>
        <w:t xml:space="preserve"> y compartiendo las conclusiones y recomendaciones con los </w:t>
      </w:r>
      <w:r w:rsidR="00A95DEF">
        <w:rPr>
          <w:lang w:val="es-ES"/>
        </w:rPr>
        <w:t>CMRE</w:t>
      </w:r>
      <w:r>
        <w:rPr>
          <w:lang w:val="es-ES"/>
        </w:rPr>
        <w:t xml:space="preserve">; c) colaborando con los </w:t>
      </w:r>
      <w:r w:rsidR="00A95DEF">
        <w:rPr>
          <w:lang w:val="es-ES"/>
        </w:rPr>
        <w:t>CMRE</w:t>
      </w:r>
      <w:r>
        <w:rPr>
          <w:lang w:val="es-ES"/>
        </w:rPr>
        <w:t xml:space="preserve"> en el diseño de técnicas, datos y productos de predicción inmediata; d) participando en las actividades de formación y desarrollo de la capacidad organizadas por los </w:t>
      </w:r>
      <w:r w:rsidR="00A95DEF">
        <w:rPr>
          <w:lang w:val="es-ES"/>
        </w:rPr>
        <w:t>CMRE</w:t>
      </w:r>
      <w:r>
        <w:rPr>
          <w:lang w:val="es-ES"/>
        </w:rPr>
        <w:t xml:space="preserve"> o por el Centro Regional de Apoyo a las Predicciones y el Servicio Regional de Apoyo a las Predicciones en el marco del Programa de Predicción de Fenómenos Meteorológicos </w:t>
      </w:r>
      <w:r w:rsidR="00B46EB6">
        <w:rPr>
          <w:lang w:val="es-ES"/>
        </w:rPr>
        <w:t>Adversos</w:t>
      </w:r>
      <w:r>
        <w:rPr>
          <w:lang w:val="es-ES"/>
        </w:rPr>
        <w:t>, y e) proporcionando observaciones adicionales, por ejemplo, las procedentes de instrumentos locales o regionales de observación en superficie o en altitud, radares meteorológicos, sistemas de detección de rayos y datos de teledetección terrestre para mejorar la resolución espacial, la resolución temporal y la calidad, así como para ampliar la cobertura geográfica del análisis, y los datos y productos de predicción inmediata.</w:t>
      </w:r>
    </w:p>
    <w:p w14:paraId="335A365E" w14:textId="560184C3" w:rsidR="003E5D1B" w:rsidRPr="008357EA" w:rsidRDefault="00E26782">
      <w:pPr>
        <w:spacing w:after="240" w:line="240" w:lineRule="exact"/>
        <w:rPr>
          <w:rFonts w:eastAsia="Calibri" w:cs="Times New Roman"/>
          <w:b/>
          <w:bCs/>
          <w:lang w:val="es-419"/>
        </w:rPr>
      </w:pPr>
      <w:r>
        <w:rPr>
          <w:lang w:val="es-ES"/>
        </w:rPr>
        <w:t xml:space="preserve">2.3.1.10.2. </w:t>
      </w:r>
      <w:r w:rsidR="00947A8C" w:rsidRPr="00947A8C">
        <w:rPr>
          <w:i/>
          <w:iCs/>
          <w:lang w:val="es-ES"/>
        </w:rPr>
        <w:t>Esferas de aplicación y servicio que los CMRE podrían respaldar</w:t>
      </w:r>
    </w:p>
    <w:p w14:paraId="26E4897E" w14:textId="589A5A6C" w:rsidR="003E5D1B" w:rsidRPr="008357EA" w:rsidRDefault="00E26782">
      <w:pPr>
        <w:spacing w:after="240" w:line="240" w:lineRule="exact"/>
        <w:rPr>
          <w:rFonts w:eastAsiaTheme="minorEastAsia" w:cstheme="majorBidi"/>
          <w:b/>
          <w:bCs/>
          <w:color w:val="000000" w:themeColor="text1"/>
          <w:lang w:val="es-419"/>
        </w:rPr>
      </w:pPr>
      <w:r>
        <w:rPr>
          <w:lang w:val="es-ES"/>
        </w:rPr>
        <w:t xml:space="preserve">Los productos que </w:t>
      </w:r>
      <w:r w:rsidR="00226D18">
        <w:rPr>
          <w:lang w:val="es-ES"/>
        </w:rPr>
        <w:t>ponen a disposición</w:t>
      </w:r>
      <w:r>
        <w:rPr>
          <w:lang w:val="es-ES"/>
        </w:rPr>
        <w:t xml:space="preserve"> los </w:t>
      </w:r>
      <w:r w:rsidR="00A95DEF">
        <w:rPr>
          <w:lang w:val="es-ES"/>
        </w:rPr>
        <w:t>CMRE</w:t>
      </w:r>
      <w:r>
        <w:rPr>
          <w:lang w:val="es-ES"/>
        </w:rPr>
        <w:t xml:space="preserve"> que realizan predicciones inmediatas respaldan las siguientes esferas:</w:t>
      </w:r>
    </w:p>
    <w:p w14:paraId="287B7C58" w14:textId="1C116255" w:rsidR="003E5D1B" w:rsidRPr="008357EA" w:rsidRDefault="00E26782">
      <w:pPr>
        <w:numPr>
          <w:ilvl w:val="0"/>
          <w:numId w:val="28"/>
        </w:numPr>
        <w:tabs>
          <w:tab w:val="clear" w:pos="1134"/>
          <w:tab w:val="left" w:pos="960"/>
        </w:tabs>
        <w:spacing w:after="240" w:line="240" w:lineRule="exact"/>
        <w:rPr>
          <w:color w:val="000000" w:themeColor="text1"/>
          <w:lang w:val="es-419"/>
        </w:rPr>
      </w:pPr>
      <w:r>
        <w:rPr>
          <w:lang w:val="es-ES"/>
        </w:rPr>
        <w:t xml:space="preserve">servicios públicos de predicción y advertencia meteorológica de sistemas meteorológicos </w:t>
      </w:r>
      <w:r w:rsidR="00B46EB6">
        <w:rPr>
          <w:lang w:val="es-ES"/>
        </w:rPr>
        <w:t>adversos</w:t>
      </w:r>
      <w:r>
        <w:rPr>
          <w:lang w:val="es-ES"/>
        </w:rPr>
        <w:t>, como tormentas convectivas significativas, ciclones tropicales y fenómenos meteorológicos asociados de alto impacto;</w:t>
      </w:r>
    </w:p>
    <w:p w14:paraId="245E0015" w14:textId="77777777" w:rsidR="003E5D1B" w:rsidRPr="008357EA" w:rsidRDefault="00E26782">
      <w:pPr>
        <w:numPr>
          <w:ilvl w:val="0"/>
          <w:numId w:val="28"/>
        </w:numPr>
        <w:tabs>
          <w:tab w:val="clear" w:pos="1134"/>
          <w:tab w:val="left" w:pos="960"/>
        </w:tabs>
        <w:spacing w:after="240" w:line="240" w:lineRule="exact"/>
        <w:rPr>
          <w:color w:val="000000" w:themeColor="text1"/>
          <w:lang w:val="es-419"/>
        </w:rPr>
      </w:pPr>
      <w:r>
        <w:rPr>
          <w:lang w:val="es-ES"/>
        </w:rPr>
        <w:t xml:space="preserve">predicciones que tienen en cuenta los impactos y sistemas de alerta temprana de peligros múltiples; </w:t>
      </w:r>
    </w:p>
    <w:p w14:paraId="4535DD60" w14:textId="77777777" w:rsidR="003E5D1B" w:rsidRPr="008357EA" w:rsidRDefault="00E26782">
      <w:pPr>
        <w:numPr>
          <w:ilvl w:val="0"/>
          <w:numId w:val="28"/>
        </w:numPr>
        <w:tabs>
          <w:tab w:val="clear" w:pos="1134"/>
          <w:tab w:val="left" w:pos="960"/>
        </w:tabs>
        <w:spacing w:after="240" w:line="240" w:lineRule="exact"/>
        <w:rPr>
          <w:color w:val="000000" w:themeColor="text1"/>
          <w:lang w:val="es-419"/>
        </w:rPr>
      </w:pPr>
      <w:r>
        <w:rPr>
          <w:lang w:val="es-ES"/>
        </w:rPr>
        <w:t>servicios de meteorología aeronáutica (detección de cizalladura del viento, tormenta, granizo, tornado, niebla, baja visibilidad y congelación);</w:t>
      </w:r>
    </w:p>
    <w:p w14:paraId="3E7A8B1C" w14:textId="77777777" w:rsidR="003E5D1B" w:rsidRPr="008357EA" w:rsidRDefault="00E26782">
      <w:pPr>
        <w:numPr>
          <w:ilvl w:val="0"/>
          <w:numId w:val="28"/>
        </w:numPr>
        <w:tabs>
          <w:tab w:val="clear" w:pos="1134"/>
          <w:tab w:val="left" w:pos="960"/>
        </w:tabs>
        <w:spacing w:after="240" w:line="240" w:lineRule="exact"/>
        <w:rPr>
          <w:color w:val="000000" w:themeColor="text1"/>
          <w:lang w:val="es-419"/>
        </w:rPr>
      </w:pPr>
      <w:r>
        <w:rPr>
          <w:lang w:val="es-ES"/>
        </w:rPr>
        <w:t>servicios meteorológicos marinos y aplicaciones oceánicas, y</w:t>
      </w:r>
    </w:p>
    <w:p w14:paraId="7E3785D6" w14:textId="77777777" w:rsidR="003E5D1B" w:rsidRPr="008357EA" w:rsidRDefault="00E26782">
      <w:pPr>
        <w:numPr>
          <w:ilvl w:val="0"/>
          <w:numId w:val="28"/>
        </w:numPr>
        <w:tabs>
          <w:tab w:val="clear" w:pos="1134"/>
          <w:tab w:val="left" w:pos="960"/>
        </w:tabs>
        <w:spacing w:after="240" w:line="240" w:lineRule="exact"/>
        <w:rPr>
          <w:color w:val="000000" w:themeColor="text1"/>
          <w:lang w:val="es-419"/>
        </w:rPr>
      </w:pPr>
      <w:r>
        <w:rPr>
          <w:lang w:val="es-ES"/>
        </w:rPr>
        <w:t xml:space="preserve">servicios de recursos hídricos e hidrológicos. </w:t>
      </w:r>
    </w:p>
    <w:p w14:paraId="33166CB0" w14:textId="4BB92803" w:rsidR="003E5D1B" w:rsidRPr="008357EA" w:rsidRDefault="00E26782">
      <w:pPr>
        <w:spacing w:after="240" w:line="240" w:lineRule="exact"/>
        <w:rPr>
          <w:rFonts w:eastAsia="Calibri" w:cs="Times New Roman"/>
          <w:b/>
          <w:bCs/>
          <w:lang w:val="es-419"/>
        </w:rPr>
      </w:pPr>
      <w:r>
        <w:rPr>
          <w:lang w:val="es-ES"/>
        </w:rPr>
        <w:t xml:space="preserve">2.3.1.10.3. </w:t>
      </w:r>
      <w:r w:rsidR="008B0C15" w:rsidRPr="008B0C15">
        <w:rPr>
          <w:i/>
          <w:iCs/>
          <w:lang w:val="es-ES"/>
        </w:rPr>
        <w:t>Recomendaciones sobre la integración en el proceso nacional de predicción</w:t>
      </w:r>
    </w:p>
    <w:p w14:paraId="7E545ED8" w14:textId="45119329" w:rsidR="003E5D1B" w:rsidRPr="008357EA" w:rsidRDefault="00E26782">
      <w:pPr>
        <w:spacing w:after="240" w:line="240" w:lineRule="exact"/>
        <w:rPr>
          <w:rFonts w:eastAsiaTheme="minorEastAsia" w:cs="Times New Roman"/>
          <w:b/>
          <w:bCs/>
          <w:lang w:val="es-419"/>
        </w:rPr>
      </w:pPr>
      <w:r>
        <w:rPr>
          <w:lang w:val="es-ES"/>
        </w:rPr>
        <w:lastRenderedPageBreak/>
        <w:t xml:space="preserve">Sobre la base de los principios expuestos en la </w:t>
      </w:r>
      <w:hyperlink r:id="rId41" w:anchor=".Y82j73bMJPY" w:history="1">
        <w:r w:rsidR="003D7F63" w:rsidRPr="00A97823">
          <w:rPr>
            <w:rStyle w:val="Hyperlink"/>
            <w:i/>
            <w:iCs/>
            <w:lang w:val="es-ES"/>
          </w:rPr>
          <w:t>Estrategia de prestación de servicios de la OMM y su Plan de aplicación</w:t>
        </w:r>
      </w:hyperlink>
      <w:r>
        <w:rPr>
          <w:lang w:val="es-ES"/>
        </w:rPr>
        <w:t xml:space="preserve"> (</w:t>
      </w:r>
      <w:r w:rsidR="00EB4587">
        <w:rPr>
          <w:lang w:val="es-ES"/>
        </w:rPr>
        <w:t>OMM</w:t>
      </w:r>
      <w:r w:rsidR="00EB4587">
        <w:rPr>
          <w:lang w:val="es-ES"/>
        </w:rPr>
        <w:noBreakHyphen/>
        <w:t>Nº</w:t>
      </w:r>
      <w:r w:rsidR="0093047C">
        <w:rPr>
          <w:lang w:val="es-ES"/>
        </w:rPr>
        <w:t> </w:t>
      </w:r>
      <w:r>
        <w:rPr>
          <w:lang w:val="es-ES"/>
        </w:rPr>
        <w:t xml:space="preserve">1129) y de la recomendación que se brinda en las </w:t>
      </w:r>
      <w:hyperlink r:id="rId42" w:anchor=".YxXlDy35Qkg" w:history="1">
        <w:r w:rsidRPr="00A97823">
          <w:rPr>
            <w:rStyle w:val="Hyperlink"/>
            <w:i/>
            <w:iCs/>
            <w:lang w:val="es-ES"/>
          </w:rPr>
          <w:t>Guidelines for Nowcasting Technique</w:t>
        </w:r>
      </w:hyperlink>
      <w:r>
        <w:rPr>
          <w:lang w:val="es-ES"/>
        </w:rPr>
        <w:t xml:space="preserve"> (</w:t>
      </w:r>
      <w:r w:rsidR="00CA1DA5">
        <w:rPr>
          <w:lang w:val="es-ES"/>
        </w:rPr>
        <w:t>WMO-No. </w:t>
      </w:r>
      <w:r>
        <w:rPr>
          <w:lang w:val="es-ES"/>
        </w:rPr>
        <w:t>1198) (Directrices sobre las técnicas de predicción inmediata), se puede considerar el siguiente enfoque para aplicar los productos de datos de predicción inmediata en apoyo del proceso de predicción nacional:</w:t>
      </w:r>
    </w:p>
    <w:p w14:paraId="05C78C8B" w14:textId="53389FE1" w:rsidR="003E5D1B" w:rsidRPr="008357EA" w:rsidRDefault="00E26782">
      <w:pPr>
        <w:numPr>
          <w:ilvl w:val="0"/>
          <w:numId w:val="37"/>
        </w:numPr>
        <w:tabs>
          <w:tab w:val="clear" w:pos="1134"/>
          <w:tab w:val="left" w:pos="960"/>
        </w:tabs>
        <w:spacing w:after="240" w:line="240" w:lineRule="exact"/>
        <w:rPr>
          <w:color w:val="000000" w:themeColor="text1"/>
          <w:szCs w:val="22"/>
          <w:lang w:val="es-419"/>
        </w:rPr>
      </w:pPr>
      <w:r>
        <w:rPr>
          <w:lang w:val="es-ES"/>
        </w:rPr>
        <w:t xml:space="preserve">Seleccionar y aplicar productos de datos de satélites meteorológicos, de </w:t>
      </w:r>
      <w:r w:rsidR="00A95DEF">
        <w:rPr>
          <w:lang w:val="es-ES"/>
        </w:rPr>
        <w:t>CMRE</w:t>
      </w:r>
      <w:r>
        <w:rPr>
          <w:lang w:val="es-ES"/>
        </w:rPr>
        <w:t xml:space="preserve"> </w:t>
      </w:r>
      <w:r w:rsidR="00E265E9">
        <w:rPr>
          <w:lang w:val="es-ES"/>
        </w:rPr>
        <w:t>que se ocupan de</w:t>
      </w:r>
      <w:r>
        <w:rPr>
          <w:lang w:val="es-ES"/>
        </w:rPr>
        <w:t xml:space="preserve"> la predicción inmediata, de predicciones de modelos de predicción numérica del tiempo a escala mundial y regional, así como de fuentes adicionales de </w:t>
      </w:r>
      <w:r w:rsidR="00086A91">
        <w:rPr>
          <w:lang w:val="es-ES"/>
        </w:rPr>
        <w:t>datos observacionales</w:t>
      </w:r>
      <w:r>
        <w:rPr>
          <w:lang w:val="es-ES"/>
        </w:rPr>
        <w:t xml:space="preserve"> o </w:t>
      </w:r>
      <w:r w:rsidR="00E265E9">
        <w:rPr>
          <w:lang w:val="es-ES"/>
        </w:rPr>
        <w:t xml:space="preserve">de </w:t>
      </w:r>
      <w:r>
        <w:rPr>
          <w:lang w:val="es-ES"/>
        </w:rPr>
        <w:t xml:space="preserve">predicción, y verificar su desempeño de forma habitual o mediante </w:t>
      </w:r>
      <w:r w:rsidR="000E0B5A">
        <w:rPr>
          <w:lang w:val="es-ES"/>
        </w:rPr>
        <w:t>estudios de caso</w:t>
      </w:r>
      <w:r>
        <w:rPr>
          <w:lang w:val="es-ES"/>
        </w:rPr>
        <w:t>.</w:t>
      </w:r>
    </w:p>
    <w:p w14:paraId="53675E93" w14:textId="77777777" w:rsidR="003E5D1B" w:rsidRPr="008357EA" w:rsidRDefault="00E26782">
      <w:pPr>
        <w:numPr>
          <w:ilvl w:val="0"/>
          <w:numId w:val="37"/>
        </w:numPr>
        <w:tabs>
          <w:tab w:val="clear" w:pos="1134"/>
          <w:tab w:val="left" w:pos="960"/>
        </w:tabs>
        <w:spacing w:after="240" w:line="240" w:lineRule="exact"/>
        <w:rPr>
          <w:color w:val="000000" w:themeColor="text1"/>
          <w:szCs w:val="22"/>
          <w:lang w:val="es-419"/>
        </w:rPr>
      </w:pPr>
      <w:r>
        <w:rPr>
          <w:lang w:val="es-ES"/>
        </w:rPr>
        <w:t>Diseñar técnicas de predicción inmediata o mejorar las que ya existen sobre la base de la experiencia adquirida al aplicar y verificar los productos de datos en lo que atañe a sus características respectivas de errores en la predicción de la iniciación, el movimiento y el crecimiento o decaimiento de los sistemas convectivos mesoescalares y las condiciones meteorológicas de alto impacto.</w:t>
      </w:r>
    </w:p>
    <w:p w14:paraId="3FA42271" w14:textId="68B0428C" w:rsidR="003E5D1B" w:rsidRPr="008357EA" w:rsidRDefault="00E26782">
      <w:pPr>
        <w:numPr>
          <w:ilvl w:val="0"/>
          <w:numId w:val="37"/>
        </w:numPr>
        <w:tabs>
          <w:tab w:val="clear" w:pos="1134"/>
          <w:tab w:val="left" w:pos="960"/>
        </w:tabs>
        <w:spacing w:after="240" w:line="240" w:lineRule="exact"/>
        <w:rPr>
          <w:color w:val="000000" w:themeColor="text1"/>
          <w:lang w:val="es-419"/>
        </w:rPr>
      </w:pPr>
      <w:r>
        <w:rPr>
          <w:lang w:val="es-ES"/>
        </w:rPr>
        <w:t xml:space="preserve">Diseñar técnicas de predicción inmediata utilizando datos locales de radar, si se dispone de ellos, </w:t>
      </w:r>
      <w:r w:rsidR="00E265E9">
        <w:rPr>
          <w:lang w:val="es-ES"/>
        </w:rPr>
        <w:t>y para integrarse</w:t>
      </w:r>
      <w:r>
        <w:rPr>
          <w:lang w:val="es-ES"/>
        </w:rPr>
        <w:t xml:space="preserve"> con las predicciones de los modelos de predicción numérica del tiempo o satelitales </w:t>
      </w:r>
      <w:r w:rsidR="00E265E9">
        <w:rPr>
          <w:lang w:val="es-ES"/>
        </w:rPr>
        <w:t>a los efectos de</w:t>
      </w:r>
      <w:r>
        <w:rPr>
          <w:lang w:val="es-ES"/>
        </w:rPr>
        <w:t xml:space="preserve"> ampliar la cobertura geográfica y el tiempo de predicción.</w:t>
      </w:r>
    </w:p>
    <w:p w14:paraId="16CA1841" w14:textId="7EBC0A33" w:rsidR="003E5D1B" w:rsidRPr="008357EA" w:rsidRDefault="00E26782">
      <w:pPr>
        <w:numPr>
          <w:ilvl w:val="0"/>
          <w:numId w:val="37"/>
        </w:numPr>
        <w:tabs>
          <w:tab w:val="clear" w:pos="1134"/>
          <w:tab w:val="left" w:pos="960"/>
        </w:tabs>
        <w:spacing w:after="240" w:line="240" w:lineRule="exact"/>
        <w:rPr>
          <w:color w:val="000000" w:themeColor="text1"/>
          <w:szCs w:val="22"/>
          <w:lang w:val="es-419"/>
        </w:rPr>
      </w:pPr>
      <w:r>
        <w:rPr>
          <w:lang w:val="es-ES"/>
        </w:rPr>
        <w:t>Comunicarse con los usuarios</w:t>
      </w:r>
      <w:r w:rsidR="00E265E9">
        <w:rPr>
          <w:lang w:val="es-ES"/>
        </w:rPr>
        <w:t xml:space="preserve"> y</w:t>
      </w:r>
      <w:r>
        <w:rPr>
          <w:lang w:val="es-ES"/>
        </w:rPr>
        <w:t xml:space="preserve"> comprender </w:t>
      </w:r>
      <w:r w:rsidR="00E265E9">
        <w:rPr>
          <w:lang w:val="es-ES"/>
        </w:rPr>
        <w:t>los</w:t>
      </w:r>
      <w:r>
        <w:rPr>
          <w:lang w:val="es-ES"/>
        </w:rPr>
        <w:t xml:space="preserve"> requisitos y </w:t>
      </w:r>
      <w:r w:rsidR="00E265E9">
        <w:rPr>
          <w:lang w:val="es-ES"/>
        </w:rPr>
        <w:t xml:space="preserve">sus </w:t>
      </w:r>
      <w:r>
        <w:rPr>
          <w:lang w:val="es-ES"/>
        </w:rPr>
        <w:t>necesidades en cuanto al diseño de productos y servicios de predicción inmediata.</w:t>
      </w:r>
    </w:p>
    <w:p w14:paraId="621128DD" w14:textId="38DD21CE" w:rsidR="003E5D1B" w:rsidRPr="008357EA" w:rsidRDefault="00E26782">
      <w:pPr>
        <w:spacing w:after="240" w:line="240" w:lineRule="exact"/>
        <w:rPr>
          <w:rFonts w:eastAsiaTheme="minorEastAsia" w:cs="Times New Roman"/>
          <w:b/>
          <w:bCs/>
          <w:lang w:val="es-419"/>
        </w:rPr>
      </w:pPr>
      <w:r>
        <w:rPr>
          <w:lang w:val="es-ES"/>
        </w:rPr>
        <w:t xml:space="preserve">En el anexo A de las </w:t>
      </w:r>
      <w:hyperlink r:id="rId43" w:anchor=".YxXlDy35Qkg" w:history="1">
        <w:r w:rsidRPr="00A97823">
          <w:rPr>
            <w:rStyle w:val="Hyperlink"/>
            <w:i/>
            <w:iCs/>
            <w:lang w:val="es-ES"/>
          </w:rPr>
          <w:t>Guidelines for Nowcasting Technique</w:t>
        </w:r>
      </w:hyperlink>
      <w:r>
        <w:rPr>
          <w:lang w:val="es-ES"/>
        </w:rPr>
        <w:t xml:space="preserve"> (</w:t>
      </w:r>
      <w:r w:rsidR="00CA1DA5">
        <w:rPr>
          <w:lang w:val="es-ES"/>
        </w:rPr>
        <w:t>WMO-No. </w:t>
      </w:r>
      <w:r>
        <w:rPr>
          <w:lang w:val="es-ES"/>
        </w:rPr>
        <w:t>1198) (Directrices sobre las técnicas de predicción inmediata) figura más información sobre el enfoque recomendado para crear capacidades de predicción inmediata en los países en desarrollo.</w:t>
      </w:r>
    </w:p>
    <w:p w14:paraId="4759896A" w14:textId="0217E553" w:rsidR="003E5D1B" w:rsidRPr="008357EA" w:rsidRDefault="00E26782">
      <w:pPr>
        <w:spacing w:after="240" w:line="240" w:lineRule="exact"/>
        <w:rPr>
          <w:rFonts w:eastAsia="Calibri" w:cs="Times New Roman"/>
          <w:b/>
          <w:bCs/>
          <w:lang w:val="es-419"/>
        </w:rPr>
      </w:pPr>
      <w:r>
        <w:rPr>
          <w:lang w:val="es-ES"/>
        </w:rPr>
        <w:t xml:space="preserve">2.3.1.10.4. </w:t>
      </w:r>
      <w:r w:rsidR="00947A8C" w:rsidRPr="00947A8C">
        <w:rPr>
          <w:i/>
          <w:iCs/>
          <w:lang w:val="es-ES"/>
        </w:rPr>
        <w:t>Mecanismo de retroinformación sobre la utilidad y exactitud de los productos</w:t>
      </w:r>
    </w:p>
    <w:p w14:paraId="50F98D42" w14:textId="6EA52BF6" w:rsidR="003E5D1B" w:rsidRPr="006705A7" w:rsidRDefault="00E26782">
      <w:pPr>
        <w:spacing w:after="240" w:line="240" w:lineRule="exact"/>
        <w:rPr>
          <w:rFonts w:eastAsiaTheme="minorEastAsia" w:cstheme="majorBidi"/>
          <w:color w:val="000000" w:themeColor="text1"/>
          <w:lang w:val="es-419"/>
        </w:rPr>
      </w:pPr>
      <w:r>
        <w:rPr>
          <w:lang w:val="es-ES"/>
        </w:rPr>
        <w:t xml:space="preserve">Se anima a los </w:t>
      </w:r>
      <w:r w:rsidR="006753E1">
        <w:rPr>
          <w:lang w:val="es-ES"/>
        </w:rPr>
        <w:t>CMN</w:t>
      </w:r>
      <w:r>
        <w:rPr>
          <w:lang w:val="es-ES"/>
        </w:rPr>
        <w:t xml:space="preserve"> a que verifiquen periódicamente los resultados de las predicciones inmediatas, aplicando enfoques cualitativos y cuantitativos, para evaluar la calidad de los sistemas de predicción inmediata. En particular, la capacidad de los productos de predicción inmediata para predecir fenómenos extremos o de alto impacto es muy importante por su repercusión en las actividades de la sociedad, la seguridad pública y la preparación para casos de desastre, o en la oportunidad del proceso de adopción de decisiones. Por lo tanto, en la verificación es muy importante que haya observaciones adecuadas del ámbito meteorológico y del no meteorológico. La retroinformación de la comunidad sobre la utilidad de los productos de predicción inmediata y sobre las necesidades debería contribuir a mejorar el diseño y la distribución </w:t>
      </w:r>
      <w:r w:rsidR="006978EB">
        <w:rPr>
          <w:lang w:val="es-ES"/>
        </w:rPr>
        <w:t xml:space="preserve">conjuntos </w:t>
      </w:r>
      <w:r>
        <w:rPr>
          <w:lang w:val="es-ES"/>
        </w:rPr>
        <w:t>de las orientaciones relativas a ese tipo de predicción. Para obtener más información técnic</w:t>
      </w:r>
      <w:r w:rsidR="006978EB">
        <w:rPr>
          <w:lang w:val="es-ES"/>
        </w:rPr>
        <w:t>a</w:t>
      </w:r>
      <w:r>
        <w:rPr>
          <w:lang w:val="es-ES"/>
        </w:rPr>
        <w:t xml:space="preserve">, consúltense las </w:t>
      </w:r>
      <w:hyperlink r:id="rId44" w:anchor=".YxXlDy35Qkg" w:history="1">
        <w:r w:rsidR="006978EB" w:rsidRPr="00A97823">
          <w:rPr>
            <w:rStyle w:val="Hyperlink"/>
            <w:i/>
            <w:iCs/>
            <w:lang w:val="es-ES"/>
          </w:rPr>
          <w:t>Guidelines for Nowcasting Technique</w:t>
        </w:r>
      </w:hyperlink>
      <w:r w:rsidR="006978EB">
        <w:rPr>
          <w:lang w:val="es-ES"/>
        </w:rPr>
        <w:t xml:space="preserve"> </w:t>
      </w:r>
      <w:r>
        <w:rPr>
          <w:lang w:val="es-ES"/>
        </w:rPr>
        <w:t>(</w:t>
      </w:r>
      <w:r w:rsidR="00CA1DA5">
        <w:rPr>
          <w:lang w:val="es-ES"/>
        </w:rPr>
        <w:t>WMO-No. </w:t>
      </w:r>
      <w:r>
        <w:rPr>
          <w:lang w:val="es-ES"/>
        </w:rPr>
        <w:t xml:space="preserve">1198) (Directrices </w:t>
      </w:r>
      <w:r w:rsidRPr="006705A7">
        <w:rPr>
          <w:lang w:val="es-ES"/>
        </w:rPr>
        <w:t>sobre las técnicas de predicción inmediata).</w:t>
      </w:r>
    </w:p>
    <w:p w14:paraId="10AD1072" w14:textId="19B4CEFF" w:rsidR="003E5D1B" w:rsidRPr="006705A7" w:rsidRDefault="00E26782">
      <w:pPr>
        <w:keepNext/>
        <w:spacing w:before="240" w:after="240" w:line="240" w:lineRule="exact"/>
        <w:ind w:left="1123" w:hanging="1123"/>
        <w:outlineLvl w:val="4"/>
        <w:rPr>
          <w:b/>
          <w:bCs/>
          <w:color w:val="000000" w:themeColor="text1"/>
          <w:lang w:val="es-419"/>
        </w:rPr>
      </w:pPr>
      <w:bookmarkStart w:id="142" w:name="_Toc113003322"/>
      <w:bookmarkStart w:id="143" w:name="_Toc113024447"/>
      <w:bookmarkStart w:id="144" w:name="_Toc117501979"/>
      <w:r w:rsidRPr="006705A7">
        <w:rPr>
          <w:b/>
          <w:bCs/>
          <w:lang w:val="es-ES"/>
        </w:rPr>
        <w:t>2.3.2</w:t>
      </w:r>
      <w:r w:rsidRPr="006705A7">
        <w:rPr>
          <w:lang w:val="es-ES"/>
        </w:rPr>
        <w:tab/>
      </w:r>
      <w:r w:rsidRPr="006705A7">
        <w:rPr>
          <w:b/>
          <w:bCs/>
          <w:lang w:val="es-ES"/>
        </w:rPr>
        <w:t>Actividades especializadas</w:t>
      </w:r>
      <w:bookmarkEnd w:id="142"/>
      <w:bookmarkEnd w:id="143"/>
      <w:bookmarkEnd w:id="144"/>
    </w:p>
    <w:p w14:paraId="5A5C955E" w14:textId="488CF1CC" w:rsidR="003E5D1B" w:rsidRPr="008357EA" w:rsidRDefault="00E26782">
      <w:pPr>
        <w:spacing w:after="240" w:line="240" w:lineRule="exact"/>
        <w:rPr>
          <w:rFonts w:eastAsiaTheme="minorEastAsia" w:cstheme="majorBidi"/>
          <w:color w:val="000000" w:themeColor="text1"/>
          <w:lang w:val="es-419"/>
        </w:rPr>
      </w:pPr>
      <w:r w:rsidRPr="006705A7">
        <w:rPr>
          <w:lang w:val="es-ES"/>
        </w:rPr>
        <w:t xml:space="preserve">Las actividades especializadas son las que dan lugar a productos de predicción y </w:t>
      </w:r>
      <w:r w:rsidR="009655F9">
        <w:rPr>
          <w:lang w:val="es-ES"/>
        </w:rPr>
        <w:t>monitoreo</w:t>
      </w:r>
      <w:r w:rsidRPr="006705A7">
        <w:rPr>
          <w:lang w:val="es-ES"/>
        </w:rPr>
        <w:t>, que pueden incluir orientaciones basadas en la interpretación humana adaptadas a un tipo concreto de aplicación o comunidad de usuarios. En la actualidad se llevan a cabo 12 actividades especializadas en total, cuyo ámbito se describe en las secciones 2.3.2.1 a 2.3.2.12 que figuran a continuación.</w:t>
      </w:r>
    </w:p>
    <w:p w14:paraId="2CDB1A94" w14:textId="7C5C94C6" w:rsidR="003E5D1B" w:rsidRPr="008357EA" w:rsidRDefault="00E26782">
      <w:pPr>
        <w:keepNext/>
        <w:spacing w:before="240" w:after="240" w:line="240" w:lineRule="exact"/>
        <w:ind w:left="1123" w:hanging="1123"/>
        <w:outlineLvl w:val="5"/>
        <w:rPr>
          <w:rFonts w:eastAsiaTheme="minorEastAsia" w:cstheme="majorBidi"/>
          <w:b/>
          <w:bCs/>
          <w:i/>
          <w:iCs/>
          <w:color w:val="000000" w:themeColor="text1"/>
          <w:lang w:val="es-419"/>
        </w:rPr>
      </w:pPr>
      <w:bookmarkStart w:id="145" w:name="_Toc113003323"/>
      <w:bookmarkStart w:id="146" w:name="_Toc113024448"/>
      <w:bookmarkStart w:id="147" w:name="_Toc117501980"/>
      <w:r>
        <w:rPr>
          <w:b/>
          <w:bCs/>
          <w:i/>
          <w:iCs/>
          <w:lang w:val="es-ES"/>
        </w:rPr>
        <w:t>2.3.2.1</w:t>
      </w:r>
      <w:r>
        <w:rPr>
          <w:lang w:val="es-ES"/>
        </w:rPr>
        <w:t xml:space="preserve"> </w:t>
      </w:r>
      <w:r>
        <w:rPr>
          <w:b/>
          <w:bCs/>
          <w:i/>
          <w:iCs/>
          <w:lang w:val="es-ES"/>
        </w:rPr>
        <w:t xml:space="preserve">Predicción y </w:t>
      </w:r>
      <w:r w:rsidR="009655F9">
        <w:rPr>
          <w:b/>
          <w:bCs/>
          <w:i/>
          <w:iCs/>
          <w:lang w:val="es-ES"/>
        </w:rPr>
        <w:t>monitoreo</w:t>
      </w:r>
      <w:r>
        <w:rPr>
          <w:b/>
          <w:bCs/>
          <w:i/>
          <w:iCs/>
          <w:lang w:val="es-ES"/>
        </w:rPr>
        <w:t xml:space="preserve"> del clima a escala regional</w:t>
      </w:r>
      <w:bookmarkEnd w:id="145"/>
      <w:bookmarkEnd w:id="146"/>
      <w:bookmarkEnd w:id="147"/>
    </w:p>
    <w:p w14:paraId="6C977B07" w14:textId="56EFB94A" w:rsidR="003E5D1B" w:rsidRPr="008357EA" w:rsidRDefault="00E26782">
      <w:pPr>
        <w:spacing w:after="240" w:line="240" w:lineRule="exact"/>
        <w:rPr>
          <w:rFonts w:eastAsiaTheme="minorEastAsia" w:cstheme="majorBidi"/>
          <w:b/>
          <w:bCs/>
          <w:color w:val="000000" w:themeColor="text1"/>
          <w:lang w:val="es-419"/>
        </w:rPr>
      </w:pPr>
      <w:r>
        <w:rPr>
          <w:lang w:val="es-ES"/>
        </w:rPr>
        <w:t xml:space="preserve">Los Centros Regionales sobre el Clima (CRC) son una clase de </w:t>
      </w:r>
      <w:r w:rsidR="00A95DEF">
        <w:rPr>
          <w:lang w:val="es-ES"/>
        </w:rPr>
        <w:t>CMRE</w:t>
      </w:r>
      <w:r>
        <w:rPr>
          <w:lang w:val="es-ES"/>
        </w:rPr>
        <w:t xml:space="preserve"> que produce y suministra de forma operativa información climática de ámbito regional, a saber, productos de datos, </w:t>
      </w:r>
      <w:r w:rsidR="008B2453">
        <w:rPr>
          <w:lang w:val="es-ES"/>
        </w:rPr>
        <w:t>monitoreo</w:t>
      </w:r>
      <w:r>
        <w:rPr>
          <w:lang w:val="es-ES"/>
        </w:rPr>
        <w:t xml:space="preserve"> y predicción climáticos que respaldan las actividades regionales y nacionales</w:t>
      </w:r>
      <w:r w:rsidR="00103AC5">
        <w:rPr>
          <w:lang w:val="es-ES"/>
        </w:rPr>
        <w:t xml:space="preserve"> </w:t>
      </w:r>
      <w:r w:rsidR="00103AC5">
        <w:rPr>
          <w:lang w:val="es-ES"/>
        </w:rPr>
        <w:lastRenderedPageBreak/>
        <w:t>relacionadas con el clima</w:t>
      </w:r>
      <w:r>
        <w:rPr>
          <w:lang w:val="es-ES"/>
        </w:rPr>
        <w:t xml:space="preserve">, y de ese modo refuerzan la capacidad de los Miembros de la OMM para prestar mejores servicios climáticos a los usuarios nacionales en apoyo </w:t>
      </w:r>
      <w:r w:rsidR="008B2453">
        <w:rPr>
          <w:lang w:val="es-ES"/>
        </w:rPr>
        <w:t>a</w:t>
      </w:r>
      <w:r>
        <w:rPr>
          <w:lang w:val="es-ES"/>
        </w:rPr>
        <w:t xml:space="preserve"> la gestión del riesgo asociado al clima y </w:t>
      </w:r>
      <w:r w:rsidR="008B2453">
        <w:rPr>
          <w:lang w:val="es-ES"/>
        </w:rPr>
        <w:t xml:space="preserve">a </w:t>
      </w:r>
      <w:r>
        <w:rPr>
          <w:lang w:val="es-ES"/>
        </w:rPr>
        <w:t xml:space="preserve">la adaptación al cambio de este. Las </w:t>
      </w:r>
      <w:r w:rsidR="00103AC5">
        <w:rPr>
          <w:lang w:val="es-ES"/>
        </w:rPr>
        <w:t>a</w:t>
      </w:r>
      <w:r>
        <w:rPr>
          <w:lang w:val="es-ES"/>
        </w:rPr>
        <w:t xml:space="preserve">sociaciones </w:t>
      </w:r>
      <w:r w:rsidR="00103AC5">
        <w:rPr>
          <w:lang w:val="es-ES"/>
        </w:rPr>
        <w:t>r</w:t>
      </w:r>
      <w:r>
        <w:rPr>
          <w:lang w:val="es-ES"/>
        </w:rPr>
        <w:t xml:space="preserve">egionales son las que promueven la puesta en marcha de </w:t>
      </w:r>
      <w:r w:rsidR="00C63E3C">
        <w:rPr>
          <w:lang w:val="es-ES"/>
        </w:rPr>
        <w:t>CRC</w:t>
      </w:r>
      <w:r>
        <w:rPr>
          <w:lang w:val="es-ES"/>
        </w:rPr>
        <w:t xml:space="preserve"> y, según cuáles sean las necesidades y capacidades, estos se crean bien como centros multifuncionales totalmente autónomos albergados por una única institución, bien como redes de </w:t>
      </w:r>
      <w:r w:rsidR="00C63E3C">
        <w:rPr>
          <w:lang w:val="es-ES"/>
        </w:rPr>
        <w:t>CRC</w:t>
      </w:r>
      <w:r>
        <w:rPr>
          <w:lang w:val="es-ES"/>
        </w:rPr>
        <w:t xml:space="preserve"> en las que una región o subregión puede estar atendida por varios centros o nodos que se distribuyen las funciones de los </w:t>
      </w:r>
      <w:r w:rsidR="00C63E3C">
        <w:rPr>
          <w:lang w:val="es-ES"/>
        </w:rPr>
        <w:t>CRC</w:t>
      </w:r>
      <w:r>
        <w:rPr>
          <w:lang w:val="es-ES"/>
        </w:rPr>
        <w:t xml:space="preserve"> entre sí y satisfacen todos los requisitos de estos de manera colectiva.</w:t>
      </w:r>
    </w:p>
    <w:p w14:paraId="0A579E87" w14:textId="5219E834" w:rsidR="003E5D1B" w:rsidRPr="008357EA" w:rsidRDefault="00E26782">
      <w:pPr>
        <w:spacing w:after="240" w:line="240" w:lineRule="exact"/>
        <w:rPr>
          <w:rFonts w:eastAsiaTheme="minorEastAsia" w:cstheme="majorBidi"/>
          <w:b/>
          <w:bCs/>
          <w:color w:val="000000" w:themeColor="text1"/>
          <w:lang w:val="es-419"/>
        </w:rPr>
      </w:pPr>
      <w:r>
        <w:rPr>
          <w:lang w:val="es-ES"/>
        </w:rPr>
        <w:t xml:space="preserve">Las aportaciones de una serie de centros mundiales de datos, </w:t>
      </w:r>
      <w:r w:rsidR="00DC5112">
        <w:rPr>
          <w:lang w:val="es-ES"/>
        </w:rPr>
        <w:t>monitoreo</w:t>
      </w:r>
      <w:r>
        <w:rPr>
          <w:lang w:val="es-ES"/>
        </w:rPr>
        <w:t xml:space="preserve"> y predicción, principalmente de los Centros Mundiales de Producción de Predicciones a Largo Plazo, constituyen la principal fuente de información sobre el clima mundial que los </w:t>
      </w:r>
      <w:r w:rsidR="00C63E3C">
        <w:rPr>
          <w:lang w:val="es-ES"/>
        </w:rPr>
        <w:t>CRC</w:t>
      </w:r>
      <w:r>
        <w:rPr>
          <w:lang w:val="es-ES"/>
        </w:rPr>
        <w:t xml:space="preserve"> transmiten en cascada al nivel regional y al nacional. Junto con los Centros Mundiales de Producción, los </w:t>
      </w:r>
      <w:r w:rsidR="00C63E3C">
        <w:rPr>
          <w:lang w:val="es-ES"/>
        </w:rPr>
        <w:t>CRC</w:t>
      </w:r>
      <w:r>
        <w:rPr>
          <w:lang w:val="es-ES"/>
        </w:rPr>
        <w:t xml:space="preserve"> son componentes básicos de la infraestructura del Sistema de Información de Servicios Climáticos (CSIS). En particular, las operaciones de los </w:t>
      </w:r>
      <w:r w:rsidR="00C63E3C">
        <w:rPr>
          <w:lang w:val="es-ES"/>
        </w:rPr>
        <w:t>CRC</w:t>
      </w:r>
      <w:r>
        <w:rPr>
          <w:lang w:val="es-ES"/>
        </w:rPr>
        <w:t xml:space="preserve"> son fundamentales para el enfoque regional del CSIS, como se ilustra en el esquema siguiente. </w:t>
      </w:r>
    </w:p>
    <w:p w14:paraId="5E695292" w14:textId="77777777" w:rsidR="003E5D1B" w:rsidRDefault="00E26782">
      <w:pPr>
        <w:spacing w:after="240" w:line="276" w:lineRule="auto"/>
        <w:rPr>
          <w:rFonts w:eastAsiaTheme="minorEastAsia" w:cstheme="majorBidi"/>
          <w:color w:val="000000" w:themeColor="text1"/>
          <w:lang w:eastAsia="zh-TW"/>
        </w:rPr>
      </w:pPr>
      <w:r>
        <w:rPr>
          <w:rFonts w:eastAsiaTheme="minorEastAsia" w:cstheme="majorBidi"/>
          <w:b/>
          <w:bCs/>
          <w:noProof/>
          <w:color w:val="7F7F7F" w:themeColor="text1" w:themeTint="80"/>
          <w:lang w:eastAsia="zh-TW"/>
        </w:rPr>
        <w:drawing>
          <wp:inline distT="0" distB="0" distL="0" distR="0" wp14:anchorId="499D77D1" wp14:editId="390A5FCD">
            <wp:extent cx="5940427" cy="4395470"/>
            <wp:effectExtent l="0" t="0" r="3175" b="5080"/>
            <wp:docPr id="16" name="Picture 3" descr="A picture containing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5" cstate="print">
                      <a:extLst>
                        <a:ext uri="{28A0092B-C50C-407E-A947-70E740481C1C}">
                          <a14:useLocalDpi xmlns:a14="http://schemas.microsoft.com/office/drawing/2010/main" val="0"/>
                        </a:ext>
                      </a:extLst>
                    </a:blip>
                    <a:srcRect l="1909" r="2513"/>
                    <a:stretch>
                      <a:fillRect/>
                    </a:stretch>
                  </pic:blipFill>
                  <pic:spPr>
                    <a:xfrm>
                      <a:off x="0" y="0"/>
                      <a:ext cx="5940427" cy="4395470"/>
                    </a:xfrm>
                    <a:prstGeom prst="rect">
                      <a:avLst/>
                    </a:prstGeom>
                  </pic:spPr>
                </pic:pic>
              </a:graphicData>
            </a:graphic>
          </wp:inline>
        </w:drawing>
      </w:r>
    </w:p>
    <w:p w14:paraId="0991875B" w14:textId="7E7667B3" w:rsidR="003E5D1B" w:rsidRPr="008357EA" w:rsidRDefault="00E26782">
      <w:pPr>
        <w:spacing w:after="240" w:line="240" w:lineRule="exact"/>
        <w:rPr>
          <w:rFonts w:eastAsiaTheme="minorEastAsia" w:cstheme="majorBidi"/>
          <w:color w:val="000000" w:themeColor="text1"/>
          <w:lang w:val="es-419"/>
        </w:rPr>
      </w:pPr>
      <w:r>
        <w:rPr>
          <w:lang w:val="es-ES"/>
        </w:rPr>
        <w:t xml:space="preserve">2.3.2.1.1 </w:t>
      </w:r>
      <w:r w:rsidRPr="00EE684A">
        <w:rPr>
          <w:i/>
          <w:iCs/>
          <w:lang w:val="es-ES"/>
        </w:rPr>
        <w:t xml:space="preserve">Resumen general de la actividad de los </w:t>
      </w:r>
      <w:r w:rsidR="00C63E3C" w:rsidRPr="00EE684A">
        <w:rPr>
          <w:i/>
          <w:iCs/>
          <w:lang w:val="es-ES"/>
        </w:rPr>
        <w:t>CRC</w:t>
      </w:r>
    </w:p>
    <w:p w14:paraId="2F025925" w14:textId="0BD7E3D8" w:rsidR="003E5D1B" w:rsidRPr="008357EA" w:rsidRDefault="00E26782">
      <w:pPr>
        <w:spacing w:after="240" w:line="240" w:lineRule="exact"/>
        <w:rPr>
          <w:rFonts w:eastAsiaTheme="minorEastAsia" w:cstheme="majorBidi"/>
          <w:b/>
          <w:bCs/>
          <w:color w:val="000000" w:themeColor="text1"/>
          <w:lang w:val="es-419"/>
        </w:rPr>
      </w:pPr>
      <w:r>
        <w:rPr>
          <w:lang w:val="es-ES"/>
        </w:rPr>
        <w:t xml:space="preserve">El monitoreo y la predicción del clima mundial se han perfeccionado considerablemente en los últimos años gracias a la mejora del sistema mundial de observación, los avances en las tecnologías informáticas y la creación de modelos climáticos de última generación. Partiendo de esos datos como insumo esencial, los </w:t>
      </w:r>
      <w:r w:rsidR="00C63E3C">
        <w:rPr>
          <w:lang w:val="es-ES"/>
        </w:rPr>
        <w:t>CRC</w:t>
      </w:r>
      <w:r>
        <w:rPr>
          <w:lang w:val="es-ES"/>
        </w:rPr>
        <w:t xml:space="preserve"> elaboran operativamente sus productos, cuyos usuarios principales son los SMHN. Las funciones obligatorias de los </w:t>
      </w:r>
      <w:r w:rsidR="00C63E3C">
        <w:rPr>
          <w:lang w:val="es-ES"/>
        </w:rPr>
        <w:t>CRC</w:t>
      </w:r>
      <w:r>
        <w:rPr>
          <w:lang w:val="es-ES"/>
        </w:rPr>
        <w:t xml:space="preserve"> (a saber, la predicción a largo plazo, el monitoreo del clima, los servicios de datos climáticos y la formación), así como las actividades y los criterios asociados, se indican en el apéndice 2.2.16 del </w:t>
      </w:r>
      <w:r w:rsidR="00B36420" w:rsidRPr="00B36420">
        <w:rPr>
          <w:i/>
          <w:iCs/>
          <w:lang w:val="es-ES"/>
        </w:rPr>
        <w:t>Manual del GDPFS</w:t>
      </w:r>
      <w:r>
        <w:rPr>
          <w:lang w:val="es-ES"/>
        </w:rPr>
        <w:t xml:space="preserve">. En el adjunto 2.2.2 se señalan otras funciones especialmente recomendadas. El apoyo a las actividades de los </w:t>
      </w:r>
      <w:r w:rsidR="00EE61DC">
        <w:rPr>
          <w:lang w:val="es-ES"/>
        </w:rPr>
        <w:t>CRC</w:t>
      </w:r>
      <w:r>
        <w:rPr>
          <w:lang w:val="es-ES"/>
        </w:rPr>
        <w:t xml:space="preserve"> también se expone con claridad en las descripciones funcionales de otros </w:t>
      </w:r>
      <w:r>
        <w:rPr>
          <w:lang w:val="es-ES"/>
        </w:rPr>
        <w:lastRenderedPageBreak/>
        <w:t xml:space="preserve">centros pertinentes del GDPFS, como los Centros Mundiales de Producción, y eso complementa los vínculos mundiales-regionales. </w:t>
      </w:r>
    </w:p>
    <w:p w14:paraId="0822A4EE" w14:textId="1884499D" w:rsidR="003E5D1B" w:rsidRPr="008357EA" w:rsidRDefault="00E26782">
      <w:pPr>
        <w:spacing w:after="240" w:line="240" w:lineRule="exact"/>
        <w:rPr>
          <w:rFonts w:eastAsiaTheme="minorEastAsia" w:cstheme="majorBidi"/>
          <w:color w:val="000000" w:themeColor="text1"/>
          <w:lang w:val="es-419"/>
        </w:rPr>
      </w:pPr>
      <w:r>
        <w:rPr>
          <w:lang w:val="es-ES"/>
        </w:rPr>
        <w:t xml:space="preserve">i) </w:t>
      </w:r>
      <w:r w:rsidR="00EE61DC" w:rsidRPr="00EE684A">
        <w:rPr>
          <w:i/>
          <w:iCs/>
          <w:lang w:val="es-ES"/>
        </w:rPr>
        <w:t>CRC</w:t>
      </w:r>
      <w:r w:rsidRPr="00EE684A">
        <w:rPr>
          <w:i/>
          <w:iCs/>
          <w:lang w:val="es-ES"/>
        </w:rPr>
        <w:t xml:space="preserve"> o redes de </w:t>
      </w:r>
      <w:r w:rsidR="00EE61DC" w:rsidRPr="00EE684A">
        <w:rPr>
          <w:i/>
          <w:iCs/>
          <w:lang w:val="es-ES"/>
        </w:rPr>
        <w:t>CRC</w:t>
      </w:r>
      <w:r w:rsidRPr="00EE684A">
        <w:rPr>
          <w:i/>
          <w:iCs/>
          <w:lang w:val="es-ES"/>
        </w:rPr>
        <w:t xml:space="preserve"> designados y modalidad de trabajo</w:t>
      </w:r>
    </w:p>
    <w:p w14:paraId="341DF2B0" w14:textId="05657322" w:rsidR="003E5D1B" w:rsidRPr="008357EA" w:rsidRDefault="00E26782">
      <w:pPr>
        <w:spacing w:after="240" w:line="240" w:lineRule="exact"/>
        <w:rPr>
          <w:rFonts w:eastAsiaTheme="minorEastAsia" w:cstheme="majorBidi"/>
          <w:b/>
          <w:bCs/>
          <w:color w:val="000000" w:themeColor="text1"/>
          <w:lang w:val="es-419"/>
        </w:rPr>
      </w:pPr>
      <w:r>
        <w:rPr>
          <w:lang w:val="es-ES"/>
        </w:rPr>
        <w:t xml:space="preserve">La lista actual de </w:t>
      </w:r>
      <w:r w:rsidR="00EE61DC">
        <w:rPr>
          <w:lang w:val="es-ES"/>
        </w:rPr>
        <w:t>CRC</w:t>
      </w:r>
      <w:r>
        <w:rPr>
          <w:lang w:val="es-ES"/>
        </w:rPr>
        <w:t xml:space="preserve"> o redes de </w:t>
      </w:r>
      <w:r w:rsidR="00EE61DC">
        <w:rPr>
          <w:lang w:val="es-ES"/>
        </w:rPr>
        <w:t>CRC</w:t>
      </w:r>
      <w:r>
        <w:rPr>
          <w:lang w:val="es-ES"/>
        </w:rPr>
        <w:t xml:space="preserve"> de la OMM designados figura en la parte III de la última edición del </w:t>
      </w:r>
      <w:r w:rsidR="00B36420" w:rsidRPr="00B36420">
        <w:rPr>
          <w:i/>
          <w:iCs/>
          <w:lang w:val="es-ES"/>
        </w:rPr>
        <w:t>Manual del GDPFS</w:t>
      </w:r>
      <w:r>
        <w:rPr>
          <w:lang w:val="es-ES"/>
        </w:rPr>
        <w:t xml:space="preserve">. En el GDPFS no hay ningún mecanismo destinado a coordinar las actividades de los </w:t>
      </w:r>
      <w:r w:rsidR="00EE61DC">
        <w:rPr>
          <w:lang w:val="es-ES"/>
        </w:rPr>
        <w:t>CRC</w:t>
      </w:r>
      <w:r>
        <w:rPr>
          <w:lang w:val="es-ES"/>
        </w:rPr>
        <w:t xml:space="preserve"> o las redes de </w:t>
      </w:r>
      <w:r w:rsidR="00347C9F">
        <w:rPr>
          <w:lang w:val="es-ES"/>
        </w:rPr>
        <w:t>CRC</w:t>
      </w:r>
      <w:r>
        <w:rPr>
          <w:lang w:val="es-ES"/>
        </w:rPr>
        <w:t xml:space="preserve">, pero las </w:t>
      </w:r>
      <w:r w:rsidR="00347C9F">
        <w:rPr>
          <w:lang w:val="es-ES"/>
        </w:rPr>
        <w:t xml:space="preserve">asociaciones regionales </w:t>
      </w:r>
      <w:r>
        <w:rPr>
          <w:lang w:val="es-ES"/>
        </w:rPr>
        <w:t xml:space="preserve">implicadas asumen la responsabilidad de coordinarlas, sobre todo en las regiones donde hay múltiples </w:t>
      </w:r>
      <w:r w:rsidR="00EE61DC">
        <w:rPr>
          <w:lang w:val="es-ES"/>
        </w:rPr>
        <w:t>CRC</w:t>
      </w:r>
      <w:r>
        <w:rPr>
          <w:lang w:val="es-ES"/>
        </w:rPr>
        <w:t xml:space="preserve"> o redes de </w:t>
      </w:r>
      <w:r w:rsidR="00347C9F">
        <w:rPr>
          <w:lang w:val="es-ES"/>
        </w:rPr>
        <w:t>CRC</w:t>
      </w:r>
      <w:r>
        <w:rPr>
          <w:lang w:val="es-ES"/>
        </w:rPr>
        <w:t xml:space="preserve"> y ámbitos de responsabilidad que se superponen. Además, los </w:t>
      </w:r>
      <w:r w:rsidR="00EE61DC">
        <w:rPr>
          <w:lang w:val="es-ES"/>
        </w:rPr>
        <w:t>CRC</w:t>
      </w:r>
      <w:r>
        <w:rPr>
          <w:lang w:val="es-ES"/>
        </w:rPr>
        <w:t xml:space="preserve"> también se consideran usuarios de los productos de otros </w:t>
      </w:r>
      <w:r w:rsidR="00EE61DC">
        <w:rPr>
          <w:lang w:val="es-ES"/>
        </w:rPr>
        <w:t>CRC</w:t>
      </w:r>
      <w:r>
        <w:rPr>
          <w:lang w:val="es-ES"/>
        </w:rPr>
        <w:t>, lo que puede facilitar el intercambio de datos y experiencias, así como la coordinación de las actividades operativas de esos centros.</w:t>
      </w:r>
    </w:p>
    <w:p w14:paraId="7BF41490" w14:textId="5B9368AA" w:rsidR="003E5D1B" w:rsidRPr="008357EA" w:rsidRDefault="00E26782">
      <w:pPr>
        <w:spacing w:after="240" w:line="240" w:lineRule="exact"/>
        <w:rPr>
          <w:rFonts w:eastAsiaTheme="minorEastAsia" w:cstheme="majorBidi"/>
          <w:color w:val="000000" w:themeColor="text1"/>
          <w:lang w:val="es-419"/>
        </w:rPr>
      </w:pPr>
      <w:r>
        <w:rPr>
          <w:lang w:val="es-ES"/>
        </w:rPr>
        <w:t xml:space="preserve">ii) </w:t>
      </w:r>
      <w:r w:rsidRPr="00EE684A">
        <w:rPr>
          <w:i/>
          <w:iCs/>
          <w:lang w:val="es-ES"/>
        </w:rPr>
        <w:t xml:space="preserve">Qué beneficios pueden obtener los </w:t>
      </w:r>
      <w:r w:rsidR="006753E1" w:rsidRPr="00EE684A">
        <w:rPr>
          <w:i/>
          <w:iCs/>
          <w:lang w:val="es-ES"/>
        </w:rPr>
        <w:t>CMN</w:t>
      </w:r>
      <w:r w:rsidRPr="00EE684A">
        <w:rPr>
          <w:i/>
          <w:iCs/>
          <w:lang w:val="es-ES"/>
        </w:rPr>
        <w:t xml:space="preserve"> de los </w:t>
      </w:r>
      <w:r w:rsidR="00C63E3C" w:rsidRPr="00EE684A">
        <w:rPr>
          <w:i/>
          <w:iCs/>
          <w:lang w:val="es-ES"/>
        </w:rPr>
        <w:t>CRC</w:t>
      </w:r>
      <w:r w:rsidRPr="00EE684A">
        <w:rPr>
          <w:i/>
          <w:iCs/>
          <w:lang w:val="es-ES"/>
        </w:rPr>
        <w:t xml:space="preserve"> y cómo pueden contribuir con ellos</w:t>
      </w:r>
      <w:r>
        <w:rPr>
          <w:lang w:val="es-ES"/>
        </w:rPr>
        <w:t xml:space="preserve"> </w:t>
      </w:r>
    </w:p>
    <w:p w14:paraId="5DC5D537" w14:textId="53C9255B" w:rsidR="003E5D1B" w:rsidRPr="008357EA" w:rsidRDefault="00E26782">
      <w:pPr>
        <w:spacing w:after="240" w:line="240" w:lineRule="exact"/>
        <w:rPr>
          <w:rFonts w:eastAsiaTheme="minorEastAsia" w:cstheme="majorBidi"/>
          <w:b/>
          <w:bCs/>
          <w:color w:val="000000" w:themeColor="text1"/>
          <w:lang w:val="es-419"/>
        </w:rPr>
      </w:pPr>
      <w:r>
        <w:rPr>
          <w:lang w:val="es-ES"/>
        </w:rPr>
        <w:t xml:space="preserve">Los </w:t>
      </w:r>
      <w:r w:rsidR="006753E1">
        <w:rPr>
          <w:lang w:val="es-ES"/>
        </w:rPr>
        <w:t>CMN</w:t>
      </w:r>
      <w:r>
        <w:rPr>
          <w:lang w:val="es-ES"/>
        </w:rPr>
        <w:t xml:space="preserve"> pueden acceder a los datos y los productos que facilitan los </w:t>
      </w:r>
      <w:r w:rsidR="00C63E3C">
        <w:rPr>
          <w:lang w:val="es-ES"/>
        </w:rPr>
        <w:t>CRC</w:t>
      </w:r>
      <w:r>
        <w:rPr>
          <w:lang w:val="es-ES"/>
        </w:rPr>
        <w:t xml:space="preserve"> como fuente de información regional optimizada para sus actividades operativas nacionales de monitoreo del clima y predicción a largo plazo. Los metadatos del </w:t>
      </w:r>
      <w:r w:rsidR="001C5219">
        <w:rPr>
          <w:lang w:val="es-ES"/>
        </w:rPr>
        <w:t>WIS</w:t>
      </w:r>
      <w:r>
        <w:rPr>
          <w:lang w:val="es-ES"/>
        </w:rPr>
        <w:t xml:space="preserve"> asociados a los datos y productos de los </w:t>
      </w:r>
      <w:r w:rsidR="00EE61DC">
        <w:rPr>
          <w:lang w:val="es-ES"/>
        </w:rPr>
        <w:t>CRC</w:t>
      </w:r>
      <w:r>
        <w:rPr>
          <w:lang w:val="es-ES"/>
        </w:rPr>
        <w:t xml:space="preserve"> se proporcionan en la sección "Predicción y </w:t>
      </w:r>
      <w:r w:rsidR="00447A55">
        <w:rPr>
          <w:lang w:val="es-ES"/>
        </w:rPr>
        <w:t>monitoreo</w:t>
      </w:r>
      <w:r>
        <w:rPr>
          <w:lang w:val="es-ES"/>
        </w:rPr>
        <w:t xml:space="preserve"> del clima a escala regional" del </w:t>
      </w:r>
      <w:hyperlink r:id="rId46" w:history="1">
        <w:r w:rsidR="00464890" w:rsidRPr="00464890">
          <w:rPr>
            <w:rStyle w:val="Hyperlink"/>
            <w:lang w:val="es-ES"/>
          </w:rPr>
          <w:t>portal web del GDPFS</w:t>
        </w:r>
      </w:hyperlink>
      <w:r w:rsidR="0038717F">
        <w:rPr>
          <w:lang w:val="es-ES"/>
        </w:rPr>
        <w:t xml:space="preserve">. </w:t>
      </w:r>
      <w:r>
        <w:rPr>
          <w:lang w:val="es-ES"/>
        </w:rPr>
        <w:t xml:space="preserve">Los SMHN también pueden obtener beneficios de las actividades de desarrollo de la capacidad que los </w:t>
      </w:r>
      <w:r w:rsidR="00EE61DC">
        <w:rPr>
          <w:lang w:val="es-ES"/>
        </w:rPr>
        <w:t>CRC</w:t>
      </w:r>
      <w:r>
        <w:rPr>
          <w:lang w:val="es-ES"/>
        </w:rPr>
        <w:t xml:space="preserve"> y las redes de </w:t>
      </w:r>
      <w:r w:rsidR="00EE61DC">
        <w:rPr>
          <w:lang w:val="es-ES"/>
        </w:rPr>
        <w:t>CRC</w:t>
      </w:r>
      <w:r>
        <w:rPr>
          <w:lang w:val="es-ES"/>
        </w:rPr>
        <w:t xml:space="preserve"> llevan a cabo en cumplimiento de sus funciones de formación, así como de los productos y servicios adicionales que esos centros ofrecen en el marco de las funciones especialmente recomendadas.</w:t>
      </w:r>
    </w:p>
    <w:p w14:paraId="09919765" w14:textId="28C617AC" w:rsidR="003E5D1B" w:rsidRPr="008357EA" w:rsidRDefault="00E26782">
      <w:pPr>
        <w:spacing w:after="240" w:line="240" w:lineRule="exact"/>
        <w:rPr>
          <w:rFonts w:eastAsiaTheme="minorEastAsia" w:cstheme="majorBidi"/>
          <w:b/>
          <w:bCs/>
          <w:color w:val="000000" w:themeColor="text1"/>
          <w:lang w:val="es-419"/>
        </w:rPr>
      </w:pPr>
      <w:r>
        <w:rPr>
          <w:lang w:val="es-ES"/>
        </w:rPr>
        <w:t xml:space="preserve">A su vez, los </w:t>
      </w:r>
      <w:r w:rsidR="00C80FA5">
        <w:rPr>
          <w:lang w:val="es-ES"/>
        </w:rPr>
        <w:t xml:space="preserve">SMHN </w:t>
      </w:r>
      <w:r>
        <w:rPr>
          <w:lang w:val="es-ES"/>
        </w:rPr>
        <w:t xml:space="preserve">también pueden contribuir a las actividades de los </w:t>
      </w:r>
      <w:r w:rsidR="00EE61DC">
        <w:rPr>
          <w:lang w:val="es-ES"/>
        </w:rPr>
        <w:t>CRC</w:t>
      </w:r>
      <w:r>
        <w:rPr>
          <w:lang w:val="es-ES"/>
        </w:rPr>
        <w:t xml:space="preserve"> y de las redes de </w:t>
      </w:r>
      <w:r w:rsidR="00EE61DC">
        <w:rPr>
          <w:lang w:val="es-ES"/>
        </w:rPr>
        <w:t>CRC</w:t>
      </w:r>
      <w:r>
        <w:rPr>
          <w:lang w:val="es-ES"/>
        </w:rPr>
        <w:t xml:space="preserve"> de las siguientes maneras (enumeración no taxativa): 1) llevando a cabo verificaciones objetivas y proporcionando retroinformación sobre el desempeño de los respectivos modelos en sus países; 2) haciendo estudios de caso sobre fenómenos concretos y transmitiendo esa información a los </w:t>
      </w:r>
      <w:r w:rsidR="00C63E3C">
        <w:rPr>
          <w:lang w:val="es-ES"/>
        </w:rPr>
        <w:t>CRC</w:t>
      </w:r>
      <w:r>
        <w:rPr>
          <w:lang w:val="es-ES"/>
        </w:rPr>
        <w:t xml:space="preserve">; 3) trabajando con los </w:t>
      </w:r>
      <w:r w:rsidR="00C63E3C">
        <w:rPr>
          <w:lang w:val="es-ES"/>
        </w:rPr>
        <w:t>CRC</w:t>
      </w:r>
      <w:r>
        <w:rPr>
          <w:lang w:val="es-ES"/>
        </w:rPr>
        <w:t xml:space="preserve"> en avances concretos de los modelos, sobre la base de los resultados de las verificaciones; 4) proporcionando otros datos observacionales para que se asimilen en la labor de calibración regional; 5) participando activamente en los Foros Regionales sobre la Evolución Probable del Clima (FREPC) que los </w:t>
      </w:r>
      <w:r w:rsidR="00EE61DC">
        <w:rPr>
          <w:lang w:val="es-ES"/>
        </w:rPr>
        <w:t>CRC</w:t>
      </w:r>
      <w:r>
        <w:rPr>
          <w:lang w:val="es-ES"/>
        </w:rPr>
        <w:t xml:space="preserve"> coordinan, y 6) realizando aportaciones periódicas a las actividades regionales de monitoreo del clima</w:t>
      </w:r>
      <w:r w:rsidR="0038717F">
        <w:rPr>
          <w:lang w:val="es-ES"/>
        </w:rPr>
        <w:t xml:space="preserve">. </w:t>
      </w:r>
    </w:p>
    <w:p w14:paraId="3169AD32" w14:textId="2D81792E" w:rsidR="003E5D1B" w:rsidRPr="008357EA" w:rsidRDefault="00E26782">
      <w:pPr>
        <w:spacing w:after="240" w:line="240" w:lineRule="exact"/>
        <w:rPr>
          <w:rFonts w:eastAsiaTheme="minorEastAsia" w:cstheme="majorBidi"/>
          <w:color w:val="000000" w:themeColor="text1"/>
          <w:lang w:val="es-419"/>
        </w:rPr>
      </w:pPr>
      <w:r>
        <w:rPr>
          <w:lang w:val="es-ES"/>
        </w:rPr>
        <w:t xml:space="preserve">2.3.2.1.2 </w:t>
      </w:r>
      <w:r w:rsidRPr="00EE684A">
        <w:rPr>
          <w:i/>
          <w:iCs/>
          <w:lang w:val="es-ES"/>
        </w:rPr>
        <w:t xml:space="preserve">Esferas de aplicación y servicio que los </w:t>
      </w:r>
      <w:r w:rsidR="00C63E3C" w:rsidRPr="00EE684A">
        <w:rPr>
          <w:i/>
          <w:iCs/>
          <w:lang w:val="es-ES"/>
        </w:rPr>
        <w:t>CRC</w:t>
      </w:r>
      <w:r w:rsidRPr="00EE684A">
        <w:rPr>
          <w:i/>
          <w:iCs/>
          <w:lang w:val="es-ES"/>
        </w:rPr>
        <w:t xml:space="preserve"> podrían respaldar</w:t>
      </w:r>
      <w:r>
        <w:rPr>
          <w:lang w:val="es-ES"/>
        </w:rPr>
        <w:t xml:space="preserve"> </w:t>
      </w:r>
    </w:p>
    <w:p w14:paraId="3E263726" w14:textId="7600AB18" w:rsidR="003E5D1B" w:rsidRPr="008357EA" w:rsidRDefault="00E26782">
      <w:pPr>
        <w:spacing w:after="240" w:line="240" w:lineRule="exact"/>
        <w:rPr>
          <w:rFonts w:eastAsiaTheme="minorEastAsia" w:cstheme="majorBidi"/>
          <w:b/>
          <w:bCs/>
          <w:lang w:val="es-419"/>
        </w:rPr>
      </w:pPr>
      <w:r>
        <w:rPr>
          <w:lang w:val="es-ES"/>
        </w:rPr>
        <w:t xml:space="preserve">Los </w:t>
      </w:r>
      <w:r w:rsidR="00EE61DC">
        <w:rPr>
          <w:lang w:val="es-ES"/>
        </w:rPr>
        <w:t>CRC</w:t>
      </w:r>
      <w:r>
        <w:rPr>
          <w:lang w:val="es-ES"/>
        </w:rPr>
        <w:t xml:space="preserve"> proporcionan datos y productos a escala regional a través de sus sitios web y del </w:t>
      </w:r>
      <w:r w:rsidR="001C5219">
        <w:rPr>
          <w:lang w:val="es-ES"/>
        </w:rPr>
        <w:t>WIS</w:t>
      </w:r>
      <w:r>
        <w:rPr>
          <w:lang w:val="es-ES"/>
        </w:rPr>
        <w:t xml:space="preserve">, principalmente para respaldar a los SMHN de la región de que se trate en la prestación de servicios climáticos destinados a diversas aplicaciones sectoriales a escala nacional. Las partes interesadas y los organismos regionales que representan a sectores sensibles al clima, como los que se indican a continuación, también pueden usar los productos de los </w:t>
      </w:r>
      <w:r w:rsidR="00C63E3C">
        <w:rPr>
          <w:lang w:val="es-ES"/>
        </w:rPr>
        <w:t>CRC</w:t>
      </w:r>
      <w:r>
        <w:rPr>
          <w:lang w:val="es-ES"/>
        </w:rPr>
        <w:t xml:space="preserve"> en cierta medida (por ejemplo, a través de los FREPC):</w:t>
      </w:r>
    </w:p>
    <w:p w14:paraId="5B1E7A6E" w14:textId="77777777" w:rsidR="003E5D1B" w:rsidRDefault="00E26782">
      <w:pPr>
        <w:numPr>
          <w:ilvl w:val="0"/>
          <w:numId w:val="22"/>
        </w:numPr>
        <w:tabs>
          <w:tab w:val="clear" w:pos="1134"/>
          <w:tab w:val="left" w:pos="960"/>
        </w:tabs>
        <w:spacing w:after="240" w:line="240" w:lineRule="exact"/>
        <w:rPr>
          <w:b/>
          <w:bCs/>
          <w:color w:val="000000" w:themeColor="text1"/>
          <w:szCs w:val="22"/>
        </w:rPr>
      </w:pPr>
      <w:r>
        <w:rPr>
          <w:lang w:val="es-ES"/>
        </w:rPr>
        <w:t>Servicios meteorológicos marinos</w:t>
      </w:r>
    </w:p>
    <w:p w14:paraId="3B4BAEB2" w14:textId="77777777" w:rsidR="003E5D1B" w:rsidRPr="008357EA" w:rsidRDefault="00E26782">
      <w:pPr>
        <w:numPr>
          <w:ilvl w:val="0"/>
          <w:numId w:val="22"/>
        </w:numPr>
        <w:tabs>
          <w:tab w:val="clear" w:pos="1134"/>
          <w:tab w:val="left" w:pos="960"/>
        </w:tabs>
        <w:spacing w:after="240" w:line="240" w:lineRule="exact"/>
        <w:rPr>
          <w:b/>
          <w:bCs/>
          <w:color w:val="000000" w:themeColor="text1"/>
          <w:szCs w:val="22"/>
          <w:lang w:val="es-419"/>
        </w:rPr>
      </w:pPr>
      <w:r>
        <w:rPr>
          <w:lang w:val="es-ES"/>
        </w:rPr>
        <w:t>Sistemas de alerta temprana de peligros múltiples</w:t>
      </w:r>
    </w:p>
    <w:p w14:paraId="6179A93F" w14:textId="77777777" w:rsidR="003E5D1B" w:rsidRPr="008357EA" w:rsidRDefault="00E26782">
      <w:pPr>
        <w:numPr>
          <w:ilvl w:val="0"/>
          <w:numId w:val="22"/>
        </w:numPr>
        <w:tabs>
          <w:tab w:val="clear" w:pos="1134"/>
          <w:tab w:val="left" w:pos="960"/>
        </w:tabs>
        <w:spacing w:after="240" w:line="240" w:lineRule="exact"/>
        <w:rPr>
          <w:b/>
          <w:bCs/>
          <w:color w:val="000000" w:themeColor="text1"/>
          <w:szCs w:val="22"/>
          <w:lang w:val="es-419"/>
        </w:rPr>
      </w:pPr>
      <w:r>
        <w:rPr>
          <w:lang w:val="es-ES"/>
        </w:rPr>
        <w:t>Servicios climáticos que respaldan a diversos sectores usuarios, como los recursos hídricos, la salud, la energía, el transporte y la construcción</w:t>
      </w:r>
    </w:p>
    <w:p w14:paraId="135EB3C6" w14:textId="77777777" w:rsidR="003E5D1B" w:rsidRPr="008357EA" w:rsidRDefault="00E26782">
      <w:pPr>
        <w:numPr>
          <w:ilvl w:val="0"/>
          <w:numId w:val="22"/>
        </w:numPr>
        <w:tabs>
          <w:tab w:val="clear" w:pos="1134"/>
          <w:tab w:val="left" w:pos="960"/>
        </w:tabs>
        <w:spacing w:after="240" w:line="240" w:lineRule="exact"/>
        <w:rPr>
          <w:b/>
          <w:bCs/>
          <w:color w:val="000000" w:themeColor="text1"/>
          <w:szCs w:val="22"/>
          <w:lang w:val="es-419"/>
        </w:rPr>
      </w:pPr>
      <w:r>
        <w:rPr>
          <w:lang w:val="es-ES"/>
        </w:rPr>
        <w:t>Servicios climáticos que respaldan la planificación y las operaciones de los organismos humanitarios</w:t>
      </w:r>
    </w:p>
    <w:p w14:paraId="33237D42" w14:textId="77777777" w:rsidR="003E5D1B" w:rsidRPr="008357EA" w:rsidRDefault="00E26782">
      <w:pPr>
        <w:spacing w:after="240" w:line="240" w:lineRule="exact"/>
        <w:rPr>
          <w:rFonts w:eastAsiaTheme="minorEastAsia" w:cstheme="majorBidi"/>
          <w:color w:val="000000" w:themeColor="text1"/>
          <w:lang w:val="es-419"/>
        </w:rPr>
      </w:pPr>
      <w:r>
        <w:rPr>
          <w:lang w:val="es-ES"/>
        </w:rPr>
        <w:t xml:space="preserve">2.3.2.1.3 </w:t>
      </w:r>
      <w:r w:rsidRPr="00EE684A">
        <w:rPr>
          <w:i/>
          <w:iCs/>
          <w:lang w:val="es-ES"/>
        </w:rPr>
        <w:t>Integración de la información regional en el proceso nacional de predicción</w:t>
      </w:r>
      <w:r>
        <w:rPr>
          <w:lang w:val="es-ES"/>
        </w:rPr>
        <w:t xml:space="preserve"> </w:t>
      </w:r>
    </w:p>
    <w:p w14:paraId="73892E02" w14:textId="64DE85CD" w:rsidR="003E5D1B" w:rsidRPr="008357EA" w:rsidRDefault="00E26782">
      <w:pPr>
        <w:spacing w:after="240" w:line="240" w:lineRule="exact"/>
        <w:rPr>
          <w:rFonts w:eastAsiaTheme="minorEastAsia" w:cstheme="majorBidi"/>
          <w:b/>
          <w:bCs/>
          <w:color w:val="000000" w:themeColor="text1"/>
          <w:lang w:val="es-419"/>
        </w:rPr>
      </w:pPr>
      <w:r>
        <w:rPr>
          <w:lang w:val="es-ES"/>
        </w:rPr>
        <w:t xml:space="preserve">Los </w:t>
      </w:r>
      <w:r w:rsidR="00EE61DC">
        <w:rPr>
          <w:lang w:val="es-ES"/>
        </w:rPr>
        <w:t>CRC</w:t>
      </w:r>
      <w:r>
        <w:rPr>
          <w:lang w:val="es-ES"/>
        </w:rPr>
        <w:t xml:space="preserve"> tienen la obligación de interpretar las predicciones de los Centros Mundiales de Producción de Predicciones a Largo Plazo correspondientes a su región de responsabilidad y de optimizar las competencias disponibles</w:t>
      </w:r>
      <w:r w:rsidR="0038717F">
        <w:rPr>
          <w:lang w:val="es-ES"/>
        </w:rPr>
        <w:t xml:space="preserve">. </w:t>
      </w:r>
      <w:r>
        <w:rPr>
          <w:lang w:val="es-ES"/>
        </w:rPr>
        <w:t xml:space="preserve">Los </w:t>
      </w:r>
      <w:r w:rsidR="00EE61DC">
        <w:rPr>
          <w:lang w:val="es-ES"/>
        </w:rPr>
        <w:t>CRC</w:t>
      </w:r>
      <w:r>
        <w:rPr>
          <w:lang w:val="es-ES"/>
        </w:rPr>
        <w:t xml:space="preserve"> también formulan declaraciones de consenso </w:t>
      </w:r>
      <w:r>
        <w:rPr>
          <w:lang w:val="es-ES"/>
        </w:rPr>
        <w:lastRenderedPageBreak/>
        <w:t xml:space="preserve">sobre predicciones regionales o subregionales, incluso a través de los FREPC, y ellas permiten que los SMHN participen más en la preparación de las proyecciones del clima regional. Los FREPC se orientan cada vez más hacia las predicciones estacionales objetivas, con el respaldo de los </w:t>
      </w:r>
      <w:r w:rsidR="00EE61DC">
        <w:rPr>
          <w:lang w:val="es-ES"/>
        </w:rPr>
        <w:t>CRC</w:t>
      </w:r>
      <w:r w:rsidR="0038717F">
        <w:rPr>
          <w:lang w:val="es-ES"/>
        </w:rPr>
        <w:t xml:space="preserve">. </w:t>
      </w:r>
      <w:r>
        <w:rPr>
          <w:lang w:val="es-ES"/>
        </w:rPr>
        <w:t xml:space="preserve">Los productos de predicción de los </w:t>
      </w:r>
      <w:r w:rsidR="00EE61DC">
        <w:rPr>
          <w:lang w:val="es-ES"/>
        </w:rPr>
        <w:t>CRC</w:t>
      </w:r>
      <w:r>
        <w:rPr>
          <w:lang w:val="es-ES"/>
        </w:rPr>
        <w:t xml:space="preserve"> deben adaptarse al contexto nacional para llegar a los usuarios finales (véase el esquema siguiente, extraído del documento </w:t>
      </w:r>
      <w:hyperlink r:id="rId47" w:history="1">
        <w:r w:rsidRPr="00937B4B">
          <w:rPr>
            <w:rStyle w:val="Hyperlink"/>
            <w:i/>
            <w:iCs/>
            <w:lang w:val="es-ES"/>
          </w:rPr>
          <w:t>Guidance on Operational Practices for Objective Seasonal Forecasting</w:t>
        </w:r>
      </w:hyperlink>
      <w:r>
        <w:rPr>
          <w:lang w:val="es-ES"/>
        </w:rPr>
        <w:t xml:space="preserve"> (</w:t>
      </w:r>
      <w:r w:rsidR="00CA1DA5">
        <w:rPr>
          <w:lang w:val="es-ES"/>
        </w:rPr>
        <w:t>WMO-No. </w:t>
      </w:r>
      <w:r>
        <w:rPr>
          <w:lang w:val="es-ES"/>
        </w:rPr>
        <w:t>1246) (Orientaciones sobre prácticas operativas para la predicción estacional objetiva))</w:t>
      </w:r>
      <w:r w:rsidR="0038717F">
        <w:rPr>
          <w:lang w:val="es-ES"/>
        </w:rPr>
        <w:t xml:space="preserve">. </w:t>
      </w:r>
    </w:p>
    <w:p w14:paraId="70B6E52E" w14:textId="77777777" w:rsidR="003E5D1B" w:rsidRDefault="00E26782">
      <w:pPr>
        <w:spacing w:after="240" w:line="276" w:lineRule="auto"/>
        <w:rPr>
          <w:rFonts w:eastAsiaTheme="minorEastAsia" w:cstheme="majorBidi"/>
          <w:color w:val="000000" w:themeColor="text1"/>
          <w:lang w:eastAsia="zh-TW"/>
        </w:rPr>
      </w:pPr>
      <w:r>
        <w:rPr>
          <w:rFonts w:eastAsiaTheme="minorEastAsia" w:cstheme="majorBidi"/>
          <w:bCs/>
          <w:iCs/>
          <w:noProof/>
          <w:color w:val="000000" w:themeColor="text1"/>
          <w:lang w:eastAsia="zh-TW"/>
        </w:rPr>
        <w:drawing>
          <wp:inline distT="0" distB="0" distL="0" distR="0" wp14:anchorId="5E0A01E7" wp14:editId="40F7F13B">
            <wp:extent cx="5940425" cy="3385820"/>
            <wp:effectExtent l="0" t="0" r="3175" b="508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0425" cy="3385820"/>
                    </a:xfrm>
                    <a:prstGeom prst="rect">
                      <a:avLst/>
                    </a:prstGeom>
                    <a:noFill/>
                    <a:ln>
                      <a:noFill/>
                    </a:ln>
                  </pic:spPr>
                </pic:pic>
              </a:graphicData>
            </a:graphic>
          </wp:inline>
        </w:drawing>
      </w:r>
    </w:p>
    <w:p w14:paraId="338309A0" w14:textId="43B1F780" w:rsidR="003E5D1B" w:rsidRPr="008357EA" w:rsidRDefault="00E26782">
      <w:pPr>
        <w:spacing w:after="240" w:line="240" w:lineRule="exact"/>
        <w:rPr>
          <w:rFonts w:eastAsiaTheme="minorEastAsia" w:cstheme="majorBidi"/>
          <w:b/>
          <w:bCs/>
          <w:color w:val="000000" w:themeColor="text1"/>
          <w:lang w:val="es-419"/>
        </w:rPr>
      </w:pPr>
      <w:r>
        <w:rPr>
          <w:lang w:val="es-ES"/>
        </w:rPr>
        <w:t xml:space="preserve">A continuación se recomiendan algunos pasos para integrar los productos de los </w:t>
      </w:r>
      <w:r w:rsidR="00EE61DC">
        <w:rPr>
          <w:lang w:val="es-ES"/>
        </w:rPr>
        <w:t>CRC</w:t>
      </w:r>
      <w:r>
        <w:rPr>
          <w:lang w:val="es-ES"/>
        </w:rPr>
        <w:t xml:space="preserve"> en el proceso nacional de predicción. El proceso de predicción se muestra en el diagrama del apéndice 2.3.1.</w:t>
      </w:r>
    </w:p>
    <w:p w14:paraId="451518F7" w14:textId="09FFD269" w:rsidR="003E5D1B" w:rsidRPr="008357EA" w:rsidRDefault="00E26782">
      <w:pPr>
        <w:numPr>
          <w:ilvl w:val="0"/>
          <w:numId w:val="23"/>
        </w:numPr>
        <w:tabs>
          <w:tab w:val="clear" w:pos="1134"/>
          <w:tab w:val="left" w:pos="960"/>
        </w:tabs>
        <w:spacing w:after="240" w:line="240" w:lineRule="exact"/>
        <w:rPr>
          <w:b/>
          <w:bCs/>
          <w:color w:val="000000" w:themeColor="text1"/>
          <w:szCs w:val="22"/>
          <w:lang w:val="es-419"/>
        </w:rPr>
      </w:pPr>
      <w:r>
        <w:rPr>
          <w:lang w:val="es-ES"/>
        </w:rPr>
        <w:t xml:space="preserve">Examinar las condiciones climáticas a escala local y regional utilizando los productos y los datos de vigilancia de los </w:t>
      </w:r>
      <w:r w:rsidR="00EE61DC">
        <w:rPr>
          <w:lang w:val="es-ES"/>
        </w:rPr>
        <w:t>CRC</w:t>
      </w:r>
      <w:r>
        <w:rPr>
          <w:lang w:val="es-ES"/>
        </w:rPr>
        <w:t>.</w:t>
      </w:r>
    </w:p>
    <w:p w14:paraId="556B8D67" w14:textId="1365B41A" w:rsidR="003E5D1B" w:rsidRPr="008357EA" w:rsidRDefault="00E26782">
      <w:pPr>
        <w:numPr>
          <w:ilvl w:val="0"/>
          <w:numId w:val="23"/>
        </w:numPr>
        <w:tabs>
          <w:tab w:val="clear" w:pos="1134"/>
          <w:tab w:val="left" w:pos="960"/>
        </w:tabs>
        <w:spacing w:after="240" w:line="240" w:lineRule="exact"/>
        <w:rPr>
          <w:b/>
          <w:bCs/>
          <w:color w:val="000000" w:themeColor="text1"/>
          <w:szCs w:val="22"/>
          <w:lang w:val="es-419"/>
        </w:rPr>
      </w:pPr>
      <w:r>
        <w:rPr>
          <w:lang w:val="es-ES"/>
        </w:rPr>
        <w:t xml:space="preserve">Analizar las condiciones de contorno y el estado actual de los patrones de circulación a gran escala utilizando los recursos de los </w:t>
      </w:r>
      <w:r w:rsidR="00EE61DC">
        <w:rPr>
          <w:lang w:val="es-ES"/>
        </w:rPr>
        <w:t>CRC</w:t>
      </w:r>
      <w:r>
        <w:rPr>
          <w:lang w:val="es-ES"/>
        </w:rPr>
        <w:t xml:space="preserve">. </w:t>
      </w:r>
    </w:p>
    <w:p w14:paraId="1A1C81CF" w14:textId="77777777" w:rsidR="003E5D1B" w:rsidRPr="008357EA" w:rsidRDefault="00E26782">
      <w:pPr>
        <w:numPr>
          <w:ilvl w:val="0"/>
          <w:numId w:val="23"/>
        </w:numPr>
        <w:tabs>
          <w:tab w:val="clear" w:pos="1134"/>
          <w:tab w:val="left" w:pos="960"/>
        </w:tabs>
        <w:spacing w:after="240" w:line="240" w:lineRule="exact"/>
        <w:rPr>
          <w:b/>
          <w:bCs/>
          <w:color w:val="000000" w:themeColor="text1"/>
          <w:szCs w:val="22"/>
          <w:lang w:val="es-419"/>
        </w:rPr>
      </w:pPr>
      <w:r>
        <w:rPr>
          <w:lang w:val="es-ES"/>
        </w:rPr>
        <w:t>Evaluar los factores regionales que impulsan la variabilidad en la estación, las condiciones geográficas locales y la predicción anterior correspondiente a la zona de interés.</w:t>
      </w:r>
    </w:p>
    <w:p w14:paraId="52ACB06C" w14:textId="09FD6752" w:rsidR="003E5D1B" w:rsidRPr="008357EA" w:rsidRDefault="00E26782">
      <w:pPr>
        <w:numPr>
          <w:ilvl w:val="0"/>
          <w:numId w:val="23"/>
        </w:numPr>
        <w:tabs>
          <w:tab w:val="clear" w:pos="1134"/>
          <w:tab w:val="left" w:pos="960"/>
        </w:tabs>
        <w:spacing w:after="240" w:line="240" w:lineRule="exact"/>
        <w:rPr>
          <w:b/>
          <w:bCs/>
          <w:color w:val="000000" w:themeColor="text1"/>
          <w:szCs w:val="22"/>
          <w:lang w:val="es-419"/>
        </w:rPr>
      </w:pPr>
      <w:r>
        <w:rPr>
          <w:lang w:val="es-ES"/>
        </w:rPr>
        <w:t>Examinar las proyecciones y los productos existentes.</w:t>
      </w:r>
    </w:p>
    <w:p w14:paraId="45F9115A" w14:textId="77777777" w:rsidR="003E5D1B" w:rsidRPr="008357EA" w:rsidRDefault="00E26782">
      <w:pPr>
        <w:numPr>
          <w:ilvl w:val="0"/>
          <w:numId w:val="23"/>
        </w:numPr>
        <w:tabs>
          <w:tab w:val="clear" w:pos="1134"/>
          <w:tab w:val="left" w:pos="960"/>
        </w:tabs>
        <w:spacing w:after="240" w:line="240" w:lineRule="exact"/>
        <w:rPr>
          <w:b/>
          <w:bCs/>
          <w:szCs w:val="22"/>
          <w:lang w:val="es-419"/>
        </w:rPr>
      </w:pPr>
      <w:r>
        <w:rPr>
          <w:lang w:val="es-ES"/>
        </w:rPr>
        <w:t>Analizar el desempeño de los modelos respecto de la región de interés utilizando diferentes métricas de verificación basadas en datos de retroanálisis disponibles a través del Centro Principal de Predicción a Largo Plazo mediante Conjuntos Multimodelos de la OMM.</w:t>
      </w:r>
    </w:p>
    <w:p w14:paraId="7F1B75AB" w14:textId="77777777" w:rsidR="003E5D1B" w:rsidRPr="008357EA" w:rsidRDefault="00E26782">
      <w:pPr>
        <w:numPr>
          <w:ilvl w:val="0"/>
          <w:numId w:val="23"/>
        </w:numPr>
        <w:tabs>
          <w:tab w:val="clear" w:pos="1134"/>
          <w:tab w:val="left" w:pos="960"/>
        </w:tabs>
        <w:spacing w:after="240" w:line="240" w:lineRule="exact"/>
        <w:rPr>
          <w:b/>
          <w:bCs/>
          <w:color w:val="000000" w:themeColor="text1"/>
          <w:szCs w:val="22"/>
          <w:lang w:val="es-419"/>
        </w:rPr>
      </w:pPr>
      <w:r>
        <w:rPr>
          <w:lang w:val="es-ES"/>
        </w:rPr>
        <w:t>Aplicar un método acordado en común para calibrar y reducir la escala.</w:t>
      </w:r>
    </w:p>
    <w:p w14:paraId="5B7E285E" w14:textId="77777777" w:rsidR="003E5D1B" w:rsidRPr="008357EA" w:rsidRDefault="00E26782">
      <w:pPr>
        <w:numPr>
          <w:ilvl w:val="0"/>
          <w:numId w:val="23"/>
        </w:numPr>
        <w:tabs>
          <w:tab w:val="clear" w:pos="1134"/>
          <w:tab w:val="left" w:pos="960"/>
        </w:tabs>
        <w:spacing w:after="240" w:line="240" w:lineRule="exact"/>
        <w:rPr>
          <w:b/>
          <w:bCs/>
          <w:color w:val="000000" w:themeColor="text1"/>
          <w:szCs w:val="22"/>
          <w:lang w:val="es-419"/>
        </w:rPr>
      </w:pPr>
      <w:r>
        <w:rPr>
          <w:lang w:val="es-ES"/>
        </w:rPr>
        <w:t>Preparar una breve descripción basada en el documento de orientación para resumir la predicción mediante una declaración de consenso.</w:t>
      </w:r>
    </w:p>
    <w:p w14:paraId="11DF72BF" w14:textId="77777777" w:rsidR="003E5D1B" w:rsidRPr="008357EA" w:rsidRDefault="00E26782">
      <w:pPr>
        <w:numPr>
          <w:ilvl w:val="0"/>
          <w:numId w:val="23"/>
        </w:numPr>
        <w:tabs>
          <w:tab w:val="clear" w:pos="1134"/>
          <w:tab w:val="left" w:pos="960"/>
        </w:tabs>
        <w:spacing w:after="240" w:line="240" w:lineRule="exact"/>
        <w:rPr>
          <w:b/>
          <w:bCs/>
          <w:color w:val="000000" w:themeColor="text1"/>
          <w:szCs w:val="22"/>
          <w:lang w:val="es-419"/>
        </w:rPr>
      </w:pPr>
      <w:r>
        <w:rPr>
          <w:lang w:val="es-ES"/>
        </w:rPr>
        <w:lastRenderedPageBreak/>
        <w:t>Examinar de forma continua los productos de predicción, cotejarlos con las observaciones y actualizarlos si es necesario.</w:t>
      </w:r>
    </w:p>
    <w:p w14:paraId="4441BFA3" w14:textId="54D618EF" w:rsidR="003E5D1B" w:rsidRPr="008357EA" w:rsidRDefault="00E26782">
      <w:pPr>
        <w:spacing w:after="240" w:line="240" w:lineRule="exact"/>
        <w:rPr>
          <w:rFonts w:eastAsiaTheme="minorEastAsia" w:cstheme="majorBidi"/>
          <w:color w:val="000000" w:themeColor="text1"/>
          <w:lang w:val="es-419"/>
        </w:rPr>
      </w:pPr>
      <w:r>
        <w:rPr>
          <w:lang w:val="es-ES"/>
        </w:rPr>
        <w:t xml:space="preserve">2.3.2.1.4 </w:t>
      </w:r>
      <w:r w:rsidR="00947A8C" w:rsidRPr="00947A8C">
        <w:rPr>
          <w:i/>
          <w:iCs/>
          <w:lang w:val="es-ES"/>
        </w:rPr>
        <w:t>Mecanismo de retroinformación sobre la utilidad y exactitud de los productos</w:t>
      </w:r>
    </w:p>
    <w:p w14:paraId="2961972C" w14:textId="5FE85F9F" w:rsidR="003E5D1B" w:rsidRPr="008357EA" w:rsidRDefault="00E26782">
      <w:pPr>
        <w:spacing w:after="240" w:line="240" w:lineRule="exact"/>
        <w:rPr>
          <w:rFonts w:eastAsiaTheme="minorEastAsia" w:cstheme="majorBidi"/>
          <w:b/>
          <w:bCs/>
          <w:color w:val="000000" w:themeColor="text1"/>
          <w:lang w:val="es-419"/>
        </w:rPr>
      </w:pPr>
      <w:r>
        <w:rPr>
          <w:lang w:val="es-ES"/>
        </w:rPr>
        <w:t xml:space="preserve">Se anima a los </w:t>
      </w:r>
      <w:r w:rsidR="006753E1">
        <w:rPr>
          <w:lang w:val="es-ES"/>
        </w:rPr>
        <w:t>CMN</w:t>
      </w:r>
      <w:r>
        <w:rPr>
          <w:lang w:val="es-ES"/>
        </w:rPr>
        <w:t xml:space="preserve"> a verificar las predicciones de los </w:t>
      </w:r>
      <w:r w:rsidR="00EE61DC">
        <w:rPr>
          <w:lang w:val="es-ES"/>
        </w:rPr>
        <w:t>CRC</w:t>
      </w:r>
      <w:r>
        <w:rPr>
          <w:lang w:val="es-ES"/>
        </w:rPr>
        <w:t xml:space="preserve">, incluidas las declaraciones de consenso de los FREPC relativas a su ámbito, y a que hagan públicos los resultados de la verificación, por ejemplo, en las sesiones de estos últimos. Los SMHN también pueden proporcionar retroinformación sobre el desempeño de los modelos respectivos en su país y contribuir al desarrollo de los modelos. Brindar información sobre los resultados de la verificación y además proporcionar datos observacionales asimilados a nivel nacional permitirá potenciar en gran medida la capacidad de los </w:t>
      </w:r>
      <w:r w:rsidR="00EE61DC">
        <w:rPr>
          <w:lang w:val="es-ES"/>
        </w:rPr>
        <w:t>CRC</w:t>
      </w:r>
      <w:r>
        <w:rPr>
          <w:lang w:val="es-ES"/>
        </w:rPr>
        <w:t xml:space="preserve"> para mejorar constantemente la calidad y fiabilidad de sus productos. </w:t>
      </w:r>
    </w:p>
    <w:p w14:paraId="1FF14D5A" w14:textId="131DBD57" w:rsidR="003E5D1B" w:rsidRPr="008357EA" w:rsidRDefault="00E26782">
      <w:pPr>
        <w:keepNext/>
        <w:spacing w:before="240" w:after="240" w:line="240" w:lineRule="exact"/>
        <w:ind w:left="1123" w:hanging="1123"/>
        <w:outlineLvl w:val="5"/>
        <w:rPr>
          <w:rFonts w:eastAsiaTheme="minorEastAsia" w:cstheme="majorBidi"/>
          <w:b/>
          <w:bCs/>
          <w:i/>
          <w:iCs/>
          <w:color w:val="000000" w:themeColor="text1"/>
          <w:lang w:val="es-419"/>
        </w:rPr>
      </w:pPr>
      <w:bookmarkStart w:id="148" w:name="_Toc113003324"/>
      <w:bookmarkStart w:id="149" w:name="_Toc113024449"/>
      <w:bookmarkStart w:id="150" w:name="_Toc117501981"/>
      <w:r>
        <w:rPr>
          <w:b/>
          <w:bCs/>
          <w:i/>
          <w:iCs/>
          <w:lang w:val="es-ES"/>
        </w:rPr>
        <w:t>2.3.2.2</w:t>
      </w:r>
      <w:r>
        <w:rPr>
          <w:lang w:val="es-ES"/>
        </w:rPr>
        <w:t xml:space="preserve"> </w:t>
      </w:r>
      <w:r>
        <w:rPr>
          <w:b/>
          <w:bCs/>
          <w:i/>
          <w:iCs/>
          <w:lang w:val="es-ES"/>
        </w:rPr>
        <w:t xml:space="preserve">Coordinación de la </w:t>
      </w:r>
      <w:r w:rsidR="009420C3">
        <w:rPr>
          <w:b/>
          <w:bCs/>
          <w:i/>
          <w:iCs/>
          <w:lang w:val="es-ES"/>
        </w:rPr>
        <w:t>predicción</w:t>
      </w:r>
      <w:r>
        <w:rPr>
          <w:b/>
          <w:bCs/>
          <w:i/>
          <w:iCs/>
          <w:lang w:val="es-ES"/>
        </w:rPr>
        <w:t xml:space="preserve"> subestacional mediante conjuntos multimodelos</w:t>
      </w:r>
      <w:r>
        <w:rPr>
          <w:lang w:val="es-ES"/>
        </w:rPr>
        <w:t xml:space="preserve"> </w:t>
      </w:r>
      <w:bookmarkEnd w:id="148"/>
      <w:bookmarkEnd w:id="149"/>
      <w:bookmarkEnd w:id="150"/>
    </w:p>
    <w:p w14:paraId="07312B6C" w14:textId="77777777" w:rsidR="003E5D1B" w:rsidRPr="008357EA" w:rsidRDefault="00E26782">
      <w:pPr>
        <w:spacing w:after="240" w:line="240" w:lineRule="exact"/>
        <w:rPr>
          <w:rFonts w:eastAsiaTheme="minorEastAsia" w:cstheme="majorBidi"/>
          <w:color w:val="000000" w:themeColor="text1"/>
          <w:lang w:val="es-419"/>
        </w:rPr>
      </w:pPr>
      <w:r>
        <w:rPr>
          <w:lang w:val="es-ES"/>
        </w:rPr>
        <w:t>La modalidad de trabajo con los Centros Mundiales de Producción de Predicciones Subestacionales y la interacción con los SMHN se describen en la sección 2.3.1.5 de la presente Guía.</w:t>
      </w:r>
    </w:p>
    <w:p w14:paraId="045B8AC8" w14:textId="08AF02AD" w:rsidR="003E5D1B" w:rsidRPr="008357EA" w:rsidRDefault="00E26782">
      <w:pPr>
        <w:keepNext/>
        <w:spacing w:before="240" w:after="240" w:line="240" w:lineRule="exact"/>
        <w:ind w:left="1123" w:hanging="1123"/>
        <w:outlineLvl w:val="5"/>
        <w:rPr>
          <w:rFonts w:eastAsiaTheme="minorEastAsia" w:cstheme="majorBidi"/>
          <w:b/>
          <w:bCs/>
          <w:i/>
          <w:iCs/>
          <w:color w:val="000000" w:themeColor="text1"/>
          <w:lang w:val="es-419"/>
        </w:rPr>
      </w:pPr>
      <w:bookmarkStart w:id="151" w:name="_Toc113003325"/>
      <w:bookmarkStart w:id="152" w:name="_Toc113024450"/>
      <w:bookmarkStart w:id="153" w:name="_Toc117501982"/>
      <w:r>
        <w:rPr>
          <w:b/>
          <w:bCs/>
          <w:i/>
          <w:iCs/>
          <w:lang w:val="es-ES"/>
        </w:rPr>
        <w:t>2.3.2.3</w:t>
      </w:r>
      <w:r>
        <w:rPr>
          <w:lang w:val="es-ES"/>
        </w:rPr>
        <w:t xml:space="preserve"> </w:t>
      </w:r>
      <w:r>
        <w:rPr>
          <w:b/>
          <w:bCs/>
          <w:i/>
          <w:iCs/>
          <w:lang w:val="es-ES"/>
        </w:rPr>
        <w:t>Coordinación de la</w:t>
      </w:r>
      <w:r w:rsidR="007377E6">
        <w:rPr>
          <w:b/>
          <w:bCs/>
          <w:i/>
          <w:iCs/>
          <w:lang w:val="es-ES"/>
        </w:rPr>
        <w:t xml:space="preserve"> predicción </w:t>
      </w:r>
      <w:r>
        <w:rPr>
          <w:b/>
          <w:bCs/>
          <w:i/>
          <w:iCs/>
          <w:lang w:val="es-ES"/>
        </w:rPr>
        <w:t>a largo plazo mediante conjuntos multimodelos</w:t>
      </w:r>
      <w:r>
        <w:rPr>
          <w:lang w:val="es-ES"/>
        </w:rPr>
        <w:t xml:space="preserve"> </w:t>
      </w:r>
      <w:bookmarkEnd w:id="151"/>
      <w:bookmarkEnd w:id="152"/>
      <w:bookmarkEnd w:id="153"/>
    </w:p>
    <w:p w14:paraId="46E7C524" w14:textId="3FAE1065" w:rsidR="003E5D1B" w:rsidRPr="008357EA" w:rsidRDefault="00E26782">
      <w:pPr>
        <w:spacing w:after="240" w:line="240" w:lineRule="exact"/>
        <w:rPr>
          <w:rFonts w:eastAsiaTheme="minorEastAsia" w:cstheme="majorBidi"/>
          <w:color w:val="000000" w:themeColor="text1"/>
          <w:lang w:val="es-419"/>
        </w:rPr>
      </w:pPr>
      <w:r>
        <w:rPr>
          <w:lang w:val="es-ES"/>
        </w:rPr>
        <w:t xml:space="preserve">La modalidad de trabajo con los Centros Mundiales de Producción de Predicciones a Largo </w:t>
      </w:r>
      <w:r w:rsidR="00633E24">
        <w:rPr>
          <w:lang w:val="es-ES"/>
        </w:rPr>
        <w:t>Plazo y</w:t>
      </w:r>
      <w:r>
        <w:rPr>
          <w:lang w:val="es-ES"/>
        </w:rPr>
        <w:t xml:space="preserve"> la interacción con los SMHN se describen en la sección 2.3.1.6 de la presente Guía.</w:t>
      </w:r>
    </w:p>
    <w:p w14:paraId="4482CF8B" w14:textId="08E0A1CE" w:rsidR="003E5D1B" w:rsidRPr="008357EA" w:rsidRDefault="00E26782">
      <w:pPr>
        <w:keepNext/>
        <w:spacing w:before="240" w:after="240" w:line="240" w:lineRule="exact"/>
        <w:ind w:left="1123" w:hanging="1123"/>
        <w:outlineLvl w:val="5"/>
        <w:rPr>
          <w:rFonts w:eastAsiaTheme="minorEastAsia" w:cstheme="majorBidi"/>
          <w:b/>
          <w:bCs/>
          <w:i/>
          <w:iCs/>
          <w:color w:val="000000" w:themeColor="text1"/>
          <w:lang w:val="es-419"/>
        </w:rPr>
      </w:pPr>
      <w:bookmarkStart w:id="154" w:name="_Toc109993389"/>
      <w:bookmarkStart w:id="155" w:name="_Toc113003326"/>
      <w:bookmarkStart w:id="156" w:name="_Toc113024451"/>
      <w:bookmarkStart w:id="157" w:name="_Toc117501983"/>
      <w:r>
        <w:rPr>
          <w:b/>
          <w:bCs/>
          <w:i/>
          <w:iCs/>
          <w:lang w:val="es-ES"/>
        </w:rPr>
        <w:t>2.3.2.4</w:t>
      </w:r>
      <w:r>
        <w:rPr>
          <w:lang w:val="es-ES"/>
        </w:rPr>
        <w:t xml:space="preserve"> </w:t>
      </w:r>
      <w:r>
        <w:rPr>
          <w:b/>
          <w:bCs/>
          <w:i/>
          <w:iCs/>
          <w:lang w:val="es-ES"/>
        </w:rPr>
        <w:t>Coordinación de la predicción anual a decenal mediante conjuntos multimodelos</w:t>
      </w:r>
      <w:bookmarkEnd w:id="154"/>
      <w:bookmarkEnd w:id="155"/>
      <w:bookmarkEnd w:id="156"/>
      <w:bookmarkEnd w:id="157"/>
    </w:p>
    <w:p w14:paraId="6960DCB0" w14:textId="77777777" w:rsidR="003E5D1B" w:rsidRPr="00EB1F39" w:rsidRDefault="00E26782">
      <w:pPr>
        <w:spacing w:after="240" w:line="240" w:lineRule="exact"/>
        <w:rPr>
          <w:rFonts w:eastAsiaTheme="minorEastAsia" w:cstheme="majorBidi"/>
          <w:color w:val="000000" w:themeColor="text1"/>
          <w:lang w:val="es-419"/>
        </w:rPr>
      </w:pPr>
      <w:r>
        <w:rPr>
          <w:lang w:val="es-ES"/>
        </w:rPr>
        <w:t xml:space="preserve">La modalidad de trabajo con los Centros Mundiales de Producción de Predicciones Climáticas Anuales a Decenales y la interacción con los SMHN se describen en la sección 2.3.1.7 de la presente </w:t>
      </w:r>
      <w:r w:rsidRPr="00EB1F39">
        <w:rPr>
          <w:lang w:val="es-ES"/>
        </w:rPr>
        <w:t>Guía.</w:t>
      </w:r>
    </w:p>
    <w:p w14:paraId="43FF39EF" w14:textId="58B10D11" w:rsidR="003E5D1B" w:rsidRPr="00EB1F39" w:rsidRDefault="00E26782">
      <w:pPr>
        <w:keepNext/>
        <w:spacing w:before="240" w:after="240" w:line="240" w:lineRule="exact"/>
        <w:ind w:left="1123" w:hanging="1123"/>
        <w:outlineLvl w:val="5"/>
        <w:rPr>
          <w:rFonts w:eastAsiaTheme="minorEastAsia" w:cstheme="majorBidi"/>
          <w:b/>
          <w:bCs/>
          <w:i/>
          <w:iCs/>
          <w:color w:val="000000" w:themeColor="text1"/>
          <w:lang w:val="es-419"/>
        </w:rPr>
      </w:pPr>
      <w:bookmarkStart w:id="158" w:name="_Toc109993390"/>
      <w:bookmarkStart w:id="159" w:name="_Toc113003327"/>
      <w:bookmarkStart w:id="160" w:name="_Toc113024452"/>
      <w:bookmarkStart w:id="161" w:name="_Toc117501984"/>
      <w:r w:rsidRPr="00EB1F39">
        <w:rPr>
          <w:b/>
          <w:bCs/>
          <w:i/>
          <w:iCs/>
          <w:lang w:val="es-ES"/>
        </w:rPr>
        <w:t>2.3.2.5</w:t>
      </w:r>
      <w:r w:rsidRPr="00EB1F39">
        <w:rPr>
          <w:lang w:val="es-ES"/>
        </w:rPr>
        <w:t xml:space="preserve"> </w:t>
      </w:r>
      <w:r w:rsidRPr="00EB1F39">
        <w:rPr>
          <w:b/>
          <w:bCs/>
          <w:i/>
          <w:iCs/>
          <w:lang w:val="es-ES"/>
        </w:rPr>
        <w:t xml:space="preserve">Predicción </w:t>
      </w:r>
      <w:r w:rsidR="00AA467F" w:rsidRPr="00EB1F39">
        <w:rPr>
          <w:b/>
          <w:bCs/>
          <w:i/>
          <w:iCs/>
          <w:lang w:val="es-ES"/>
        </w:rPr>
        <w:t>de fenómenos meteorológicos adversos a escala regional</w:t>
      </w:r>
      <w:r w:rsidRPr="00EB1F39">
        <w:rPr>
          <w:lang w:val="es-ES"/>
        </w:rPr>
        <w:t xml:space="preserve"> </w:t>
      </w:r>
      <w:bookmarkEnd w:id="158"/>
      <w:bookmarkEnd w:id="159"/>
      <w:bookmarkEnd w:id="160"/>
      <w:bookmarkEnd w:id="161"/>
    </w:p>
    <w:p w14:paraId="315E522D" w14:textId="1F5670CC" w:rsidR="003E5D1B" w:rsidRPr="00EB1F39" w:rsidRDefault="00E26782">
      <w:pPr>
        <w:spacing w:line="240" w:lineRule="exact"/>
        <w:rPr>
          <w:rFonts w:eastAsia="Verdana" w:cs="Verdana"/>
          <w:i/>
          <w:iCs/>
          <w:color w:val="000000" w:themeColor="text1"/>
          <w:lang w:val="es-419"/>
        </w:rPr>
      </w:pPr>
      <w:r w:rsidRPr="00EB1F39">
        <w:rPr>
          <w:i/>
          <w:iCs/>
          <w:lang w:val="es-ES"/>
        </w:rPr>
        <w:t>2.3.2.5.1</w:t>
      </w:r>
      <w:r w:rsidRPr="00EB1F39">
        <w:rPr>
          <w:lang w:val="es-ES"/>
        </w:rPr>
        <w:t xml:space="preserve"> </w:t>
      </w:r>
      <w:r w:rsidRPr="00EB1F39">
        <w:rPr>
          <w:i/>
          <w:iCs/>
          <w:lang w:val="es-ES"/>
        </w:rPr>
        <w:t xml:space="preserve">Resumen general de la actividad de los </w:t>
      </w:r>
      <w:r w:rsidR="00A95DEF" w:rsidRPr="00EB1F39">
        <w:rPr>
          <w:i/>
          <w:iCs/>
          <w:lang w:val="es-ES"/>
        </w:rPr>
        <w:t>CMRE</w:t>
      </w:r>
    </w:p>
    <w:p w14:paraId="0A8365B6" w14:textId="06DDF074" w:rsidR="003E5D1B" w:rsidRPr="008357EA" w:rsidRDefault="00C170C2">
      <w:pPr>
        <w:spacing w:before="240" w:after="240" w:line="240" w:lineRule="exact"/>
        <w:rPr>
          <w:lang w:val="es-419"/>
        </w:rPr>
      </w:pPr>
      <w:r>
        <w:rPr>
          <w:lang w:val="es-ES"/>
        </w:rPr>
        <w:t>La</w:t>
      </w:r>
      <w:r w:rsidRPr="00EB1F39">
        <w:rPr>
          <w:lang w:val="es-ES"/>
        </w:rPr>
        <w:t xml:space="preserve"> actividad especializada de predicción </w:t>
      </w:r>
      <w:r w:rsidR="00AA467F" w:rsidRPr="00EB1F39">
        <w:rPr>
          <w:lang w:val="es-ES"/>
        </w:rPr>
        <w:t>de fenómenos meteorológicos adversos a escala regional</w:t>
      </w:r>
      <w:r w:rsidRPr="00EB1F39">
        <w:rPr>
          <w:lang w:val="es-ES"/>
        </w:rPr>
        <w:t xml:space="preserve"> pasó a formar parte del </w:t>
      </w:r>
      <w:r w:rsidR="00B36420" w:rsidRPr="00EB1F39">
        <w:rPr>
          <w:i/>
          <w:iCs/>
          <w:lang w:val="es-ES"/>
        </w:rPr>
        <w:t>Manual del GDPFS</w:t>
      </w:r>
      <w:r w:rsidRPr="00EB1F39">
        <w:rPr>
          <w:lang w:val="es-ES"/>
        </w:rPr>
        <w:t xml:space="preserve"> luego de que fuera aprobada en la 69ª reunión del </w:t>
      </w:r>
      <w:r w:rsidR="00F81A61">
        <w:rPr>
          <w:lang w:val="es-ES"/>
        </w:rPr>
        <w:t>Consejo Ejecutivo</w:t>
      </w:r>
      <w:r w:rsidRPr="00EB1F39">
        <w:rPr>
          <w:lang w:val="es-ES"/>
        </w:rPr>
        <w:t xml:space="preserve"> (2017). Los </w:t>
      </w:r>
      <w:r w:rsidR="00A95DEF" w:rsidRPr="00EB1F39">
        <w:rPr>
          <w:lang w:val="es-ES"/>
        </w:rPr>
        <w:t>CMRE</w:t>
      </w:r>
      <w:r w:rsidRPr="00EB1F39">
        <w:rPr>
          <w:lang w:val="es-ES"/>
        </w:rPr>
        <w:t xml:space="preserve"> que hacen predicciones </w:t>
      </w:r>
      <w:r w:rsidR="00AA467F" w:rsidRPr="00EB1F39">
        <w:rPr>
          <w:lang w:val="es-ES"/>
        </w:rPr>
        <w:t>de fenómenos meteorológicos adversos a escala regional</w:t>
      </w:r>
      <w:r w:rsidRPr="00EB1F39">
        <w:rPr>
          <w:lang w:val="es-ES"/>
        </w:rPr>
        <w:t xml:space="preserve"> tienen el mandato de prestar servicios de apoyo al Programa de Predicción de Fenómenos Meteorológicos </w:t>
      </w:r>
      <w:r w:rsidR="00E86642" w:rsidRPr="00EB1F39">
        <w:rPr>
          <w:lang w:val="es-ES"/>
        </w:rPr>
        <w:t>Adversos</w:t>
      </w:r>
      <w:r w:rsidRPr="00EB1F39">
        <w:rPr>
          <w:lang w:val="es-ES"/>
        </w:rPr>
        <w:t xml:space="preserve"> de la OMM, que se pone en práctica en varias subregiones del mundo para mejorar la accesibilidad, el uso y la aplicación de los productos de predicción numérica del tiempo a escala mundial y de área limitada, con el fin de mejorar la predicción de fenómenos meteorológicos </w:t>
      </w:r>
      <w:r w:rsidR="00E86642" w:rsidRPr="00EB1F39">
        <w:rPr>
          <w:lang w:val="es-ES"/>
        </w:rPr>
        <w:t>adversos</w:t>
      </w:r>
      <w:r w:rsidRPr="00EB1F39">
        <w:rPr>
          <w:lang w:val="es-ES"/>
        </w:rPr>
        <w:t xml:space="preserve"> y los servicios de alerta temprana en los países en desarrollo y los menos</w:t>
      </w:r>
      <w:r>
        <w:rPr>
          <w:lang w:val="es-ES"/>
        </w:rPr>
        <w:t xml:space="preserve"> adelantados. Los </w:t>
      </w:r>
      <w:r w:rsidR="00A95DEF">
        <w:rPr>
          <w:lang w:val="es-ES"/>
        </w:rPr>
        <w:t>CMRE</w:t>
      </w:r>
      <w:r>
        <w:rPr>
          <w:lang w:val="es-ES"/>
        </w:rPr>
        <w:t xml:space="preserve"> que hacen predicciones </w:t>
      </w:r>
      <w:r w:rsidR="00AA467F">
        <w:rPr>
          <w:lang w:val="es-ES"/>
        </w:rPr>
        <w:t>de fenómenos meteorológicos adversos a escala regional</w:t>
      </w:r>
      <w:r>
        <w:rPr>
          <w:lang w:val="es-ES"/>
        </w:rPr>
        <w:t xml:space="preserve"> se encargan principalmente de analizar los resultados de la predicción numérica del tiempo y de la información satelital disponibles</w:t>
      </w:r>
      <w:r w:rsidR="00333775">
        <w:rPr>
          <w:lang w:val="es-ES"/>
        </w:rPr>
        <w:t>,</w:t>
      </w:r>
      <w:r>
        <w:rPr>
          <w:lang w:val="es-ES"/>
        </w:rPr>
        <w:t xml:space="preserve"> y de emitir productos diarios de orientación sobre la predicción de los tipos de fenómenos meteorológicos </w:t>
      </w:r>
      <w:r w:rsidR="00E86642">
        <w:rPr>
          <w:lang w:val="es-ES"/>
        </w:rPr>
        <w:t>adversos</w:t>
      </w:r>
      <w:r>
        <w:rPr>
          <w:lang w:val="es-ES"/>
        </w:rPr>
        <w:t xml:space="preserve"> convenidos (por ejemplo, lluvias intensas y vientos fuertes)</w:t>
      </w:r>
      <w:r w:rsidR="00333775">
        <w:rPr>
          <w:lang w:val="es-ES"/>
        </w:rPr>
        <w:t>, para</w:t>
      </w:r>
      <w:r>
        <w:rPr>
          <w:lang w:val="es-ES"/>
        </w:rPr>
        <w:t xml:space="preserve"> los </w:t>
      </w:r>
      <w:r w:rsidR="006753E1">
        <w:rPr>
          <w:lang w:val="es-ES"/>
        </w:rPr>
        <w:t>CMN</w:t>
      </w:r>
      <w:r>
        <w:rPr>
          <w:lang w:val="es-ES"/>
        </w:rPr>
        <w:t xml:space="preserve"> asociados </w:t>
      </w:r>
      <w:r w:rsidR="00333775">
        <w:rPr>
          <w:lang w:val="es-ES"/>
        </w:rPr>
        <w:t>de</w:t>
      </w:r>
      <w:r>
        <w:rPr>
          <w:lang w:val="es-ES"/>
        </w:rPr>
        <w:t xml:space="preserve"> la subregión correspondiente.</w:t>
      </w:r>
    </w:p>
    <w:p w14:paraId="6DE1B707" w14:textId="04A5AFA9" w:rsidR="003E5D1B" w:rsidRPr="008357EA" w:rsidRDefault="00E26782">
      <w:pPr>
        <w:spacing w:before="240" w:after="240"/>
        <w:rPr>
          <w:rFonts w:eastAsia="Verdana" w:cs="Verdana"/>
          <w:i/>
          <w:iCs/>
          <w:color w:val="000000" w:themeColor="text1"/>
          <w:lang w:val="es-419"/>
        </w:rPr>
      </w:pPr>
      <w:r>
        <w:rPr>
          <w:lang w:val="es-ES"/>
        </w:rPr>
        <w:t xml:space="preserve">i) </w:t>
      </w:r>
      <w:r w:rsidR="00947A8C" w:rsidRPr="00947A8C">
        <w:rPr>
          <w:i/>
          <w:iCs/>
          <w:lang w:val="es-ES"/>
        </w:rPr>
        <w:t>Centros designados y modalidad de trabajo</w:t>
      </w:r>
    </w:p>
    <w:p w14:paraId="0737856D" w14:textId="7EE43094" w:rsidR="003E5D1B" w:rsidRPr="008357EA" w:rsidRDefault="00E26782">
      <w:pPr>
        <w:spacing w:before="240" w:after="240"/>
        <w:rPr>
          <w:lang w:val="es-419"/>
        </w:rPr>
      </w:pPr>
      <w:r>
        <w:rPr>
          <w:lang w:val="es-ES"/>
        </w:rPr>
        <w:t xml:space="preserve">La lista de los </w:t>
      </w:r>
      <w:r w:rsidR="00A95DEF">
        <w:rPr>
          <w:lang w:val="es-ES"/>
        </w:rPr>
        <w:t>CMRE</w:t>
      </w:r>
      <w:r>
        <w:rPr>
          <w:lang w:val="es-ES"/>
        </w:rPr>
        <w:t xml:space="preserve"> designados para la predicción </w:t>
      </w:r>
      <w:r w:rsidR="00AA467F">
        <w:rPr>
          <w:lang w:val="es-ES"/>
        </w:rPr>
        <w:t>de fenómenos meteorológicos adversos a escala regional</w:t>
      </w:r>
      <w:r>
        <w:rPr>
          <w:lang w:val="es-ES"/>
        </w:rPr>
        <w:t xml:space="preserve"> figura en la parte III del </w:t>
      </w:r>
      <w:r w:rsidR="00B36420" w:rsidRPr="00B36420">
        <w:rPr>
          <w:i/>
          <w:iCs/>
          <w:lang w:val="es-ES"/>
        </w:rPr>
        <w:t>Manual del GDPFS</w:t>
      </w:r>
      <w:r>
        <w:rPr>
          <w:lang w:val="es-ES"/>
        </w:rPr>
        <w:t xml:space="preserve">. </w:t>
      </w:r>
    </w:p>
    <w:p w14:paraId="78066011" w14:textId="45101450" w:rsidR="003E5D1B" w:rsidRPr="008357EA" w:rsidRDefault="00E26782">
      <w:pPr>
        <w:spacing w:before="240" w:after="240"/>
        <w:rPr>
          <w:lang w:val="es-419"/>
        </w:rPr>
      </w:pPr>
      <w:r>
        <w:rPr>
          <w:lang w:val="es-ES"/>
        </w:rPr>
        <w:t xml:space="preserve">Cada uno de esos centros proporciona productos de orientación sobre fenómenos meteorológicos </w:t>
      </w:r>
      <w:r w:rsidR="00B37DF3">
        <w:rPr>
          <w:lang w:val="es-ES"/>
        </w:rPr>
        <w:t>adversos</w:t>
      </w:r>
      <w:r>
        <w:rPr>
          <w:lang w:val="es-ES"/>
        </w:rPr>
        <w:t xml:space="preserve"> en relación con los tipos de fenómenos y de conformidad con los criterios de orientación </w:t>
      </w:r>
      <w:r>
        <w:rPr>
          <w:lang w:val="es-ES"/>
        </w:rPr>
        <w:lastRenderedPageBreak/>
        <w:t xml:space="preserve">y la escala regional acordados con los </w:t>
      </w:r>
      <w:r w:rsidR="006753E1">
        <w:rPr>
          <w:lang w:val="es-ES"/>
        </w:rPr>
        <w:t>CMN</w:t>
      </w:r>
      <w:r>
        <w:rPr>
          <w:lang w:val="es-ES"/>
        </w:rPr>
        <w:t xml:space="preserve"> vinculados </w:t>
      </w:r>
      <w:r w:rsidR="002250A0">
        <w:rPr>
          <w:lang w:val="es-ES"/>
        </w:rPr>
        <w:t>de</w:t>
      </w:r>
      <w:r>
        <w:rPr>
          <w:lang w:val="es-ES"/>
        </w:rPr>
        <w:t xml:space="preserve"> una subregión. Los productos de orientación sobre la predicción de fenómenos meteorológicos </w:t>
      </w:r>
      <w:r w:rsidR="005370A2">
        <w:rPr>
          <w:lang w:val="es-ES"/>
        </w:rPr>
        <w:t>adversos</w:t>
      </w:r>
      <w:r>
        <w:rPr>
          <w:lang w:val="es-ES"/>
        </w:rPr>
        <w:t xml:space="preserve"> se preparan, al menos una vez al día, para los </w:t>
      </w:r>
      <w:r w:rsidR="006753E1">
        <w:rPr>
          <w:lang w:val="es-ES"/>
        </w:rPr>
        <w:t>CMN</w:t>
      </w:r>
      <w:r>
        <w:rPr>
          <w:lang w:val="es-ES"/>
        </w:rPr>
        <w:t xml:space="preserve"> vinculados. Por lo general, </w:t>
      </w:r>
      <w:r w:rsidR="002250A0">
        <w:rPr>
          <w:lang w:val="es-ES"/>
        </w:rPr>
        <w:t>esos</w:t>
      </w:r>
      <w:r>
        <w:rPr>
          <w:lang w:val="es-ES"/>
        </w:rPr>
        <w:t xml:space="preserve"> productos contienen una interpretación de los productos de</w:t>
      </w:r>
      <w:r w:rsidR="002250A0">
        <w:rPr>
          <w:lang w:val="es-ES"/>
        </w:rPr>
        <w:t xml:space="preserve"> </w:t>
      </w:r>
      <w:r>
        <w:rPr>
          <w:lang w:val="es-ES"/>
        </w:rPr>
        <w:t xml:space="preserve">orientación en materia de predicción numérica del tiempo determinística, predicción por conjuntos y predicción por teledetección, y se facilitan en un sitio web especializado (si procede, con protección mediante contraseña), junto con productos pertinentes de predicción numérica del tiempo determinística, predicción por conjuntos y predicción por teledetección. Cuando los fenómenos meteorológicos </w:t>
      </w:r>
      <w:r w:rsidR="005370A2">
        <w:rPr>
          <w:lang w:val="es-ES"/>
        </w:rPr>
        <w:t>adversos</w:t>
      </w:r>
      <w:r>
        <w:rPr>
          <w:lang w:val="es-ES"/>
        </w:rPr>
        <w:t xml:space="preserve"> est</w:t>
      </w:r>
      <w:r w:rsidR="002250A0">
        <w:rPr>
          <w:lang w:val="es-ES"/>
        </w:rPr>
        <w:t>á</w:t>
      </w:r>
      <w:r>
        <w:rPr>
          <w:lang w:val="es-ES"/>
        </w:rPr>
        <w:t xml:space="preserve">n relacionados con ciclones tropicales (incluidos los tifones y huracanes), los </w:t>
      </w:r>
      <w:r w:rsidR="00A95DEF">
        <w:rPr>
          <w:lang w:val="es-ES"/>
        </w:rPr>
        <w:t>CMRE</w:t>
      </w:r>
      <w:r>
        <w:rPr>
          <w:lang w:val="es-ES"/>
        </w:rPr>
        <w:t xml:space="preserve"> que hacen predicciones </w:t>
      </w:r>
      <w:r w:rsidR="00AA467F">
        <w:rPr>
          <w:lang w:val="es-ES"/>
        </w:rPr>
        <w:t>de fenómenos meteorológicos adversos a escala regional</w:t>
      </w:r>
      <w:r>
        <w:rPr>
          <w:lang w:val="es-ES"/>
        </w:rPr>
        <w:t xml:space="preserve"> tienen en cuenta las </w:t>
      </w:r>
      <w:r w:rsidR="002250A0">
        <w:rPr>
          <w:lang w:val="es-ES"/>
        </w:rPr>
        <w:t>orientaciones</w:t>
      </w:r>
      <w:r>
        <w:rPr>
          <w:lang w:val="es-ES"/>
        </w:rPr>
        <w:t xml:space="preserve"> del CMRE </w:t>
      </w:r>
      <w:r w:rsidR="002250A0">
        <w:rPr>
          <w:lang w:val="es-ES"/>
        </w:rPr>
        <w:t xml:space="preserve">correspondiente </w:t>
      </w:r>
      <w:r>
        <w:rPr>
          <w:lang w:val="es-ES"/>
        </w:rPr>
        <w:t xml:space="preserve">de predicción de ciclones tropicales y las interpreta en términos de orientación sobre fenómenos meteorológicos </w:t>
      </w:r>
      <w:r w:rsidR="002F413D">
        <w:rPr>
          <w:lang w:val="es-ES"/>
        </w:rPr>
        <w:t>adversos</w:t>
      </w:r>
      <w:r w:rsidR="0038717F">
        <w:rPr>
          <w:lang w:val="es-ES"/>
        </w:rPr>
        <w:t xml:space="preserve">. </w:t>
      </w:r>
    </w:p>
    <w:p w14:paraId="27A0523B" w14:textId="67D9E94C" w:rsidR="003E5D1B" w:rsidRPr="008357EA" w:rsidRDefault="00E26782">
      <w:pPr>
        <w:spacing w:before="240" w:after="240"/>
        <w:rPr>
          <w:rFonts w:eastAsia="Verdana" w:cs="Verdana"/>
          <w:i/>
          <w:iCs/>
          <w:color w:val="000000" w:themeColor="text1"/>
          <w:lang w:val="es-419"/>
        </w:rPr>
      </w:pPr>
      <w:r>
        <w:rPr>
          <w:i/>
          <w:iCs/>
          <w:lang w:val="es-ES"/>
        </w:rPr>
        <w:t>ii)</w:t>
      </w:r>
      <w:r>
        <w:rPr>
          <w:lang w:val="es-ES"/>
        </w:rPr>
        <w:t xml:space="preserve"> </w:t>
      </w:r>
      <w:r>
        <w:rPr>
          <w:i/>
          <w:iCs/>
          <w:lang w:val="es-ES"/>
        </w:rPr>
        <w:t xml:space="preserve">Qué beneficios pueden obtener los </w:t>
      </w:r>
      <w:r w:rsidR="006753E1">
        <w:rPr>
          <w:i/>
          <w:iCs/>
          <w:lang w:val="es-ES"/>
        </w:rPr>
        <w:t>CMN</w:t>
      </w:r>
      <w:r>
        <w:rPr>
          <w:i/>
          <w:iCs/>
          <w:lang w:val="es-ES"/>
        </w:rPr>
        <w:t xml:space="preserve"> de los </w:t>
      </w:r>
      <w:r w:rsidR="00A95DEF">
        <w:rPr>
          <w:i/>
          <w:iCs/>
          <w:lang w:val="es-ES"/>
        </w:rPr>
        <w:t>CMRE</w:t>
      </w:r>
      <w:r>
        <w:rPr>
          <w:i/>
          <w:iCs/>
          <w:lang w:val="es-ES"/>
        </w:rPr>
        <w:t xml:space="preserve"> que hacen predicciones </w:t>
      </w:r>
      <w:r w:rsidR="00AA467F">
        <w:rPr>
          <w:i/>
          <w:iCs/>
          <w:lang w:val="es-ES"/>
        </w:rPr>
        <w:t>de fenómenos meteorológicos adversos a escala regional</w:t>
      </w:r>
      <w:r>
        <w:rPr>
          <w:i/>
          <w:iCs/>
          <w:lang w:val="es-ES"/>
        </w:rPr>
        <w:t xml:space="preserve"> y cómo pueden contribuir con ellos</w:t>
      </w:r>
    </w:p>
    <w:p w14:paraId="4C7F6432" w14:textId="631B8650" w:rsidR="003E5D1B" w:rsidRPr="008357EA" w:rsidRDefault="00E26782">
      <w:pPr>
        <w:spacing w:before="240" w:after="240"/>
        <w:rPr>
          <w:lang w:val="es-419"/>
        </w:rPr>
      </w:pPr>
      <w:r>
        <w:rPr>
          <w:lang w:val="es-ES"/>
        </w:rPr>
        <w:t xml:space="preserve">Los </w:t>
      </w:r>
      <w:r w:rsidR="006753E1">
        <w:rPr>
          <w:lang w:val="es-ES"/>
        </w:rPr>
        <w:t>CMN</w:t>
      </w:r>
      <w:r>
        <w:rPr>
          <w:lang w:val="es-ES"/>
        </w:rPr>
        <w:t xml:space="preserve"> vinculados acceden a los productos que facilita el </w:t>
      </w:r>
      <w:r w:rsidR="00A95DEF">
        <w:rPr>
          <w:lang w:val="es-ES"/>
        </w:rPr>
        <w:t>CMRE</w:t>
      </w:r>
      <w:r>
        <w:rPr>
          <w:lang w:val="es-ES"/>
        </w:rPr>
        <w:t xml:space="preserve"> que hace predicciones </w:t>
      </w:r>
      <w:r w:rsidR="00AA467F">
        <w:rPr>
          <w:lang w:val="es-ES"/>
        </w:rPr>
        <w:t>de fenómenos meteorológicos adversos a escala regional</w:t>
      </w:r>
      <w:r>
        <w:rPr>
          <w:lang w:val="es-ES"/>
        </w:rPr>
        <w:t xml:space="preserve"> a través del sitio web especializado de este último (si procede, con protección mediante contraseña). Por lo general, la contraseña se transmite a los </w:t>
      </w:r>
      <w:r w:rsidR="006753E1">
        <w:rPr>
          <w:lang w:val="es-ES"/>
        </w:rPr>
        <w:t>CMN</w:t>
      </w:r>
      <w:r>
        <w:rPr>
          <w:lang w:val="es-ES"/>
        </w:rPr>
        <w:t xml:space="preserve"> a través de los coordinadores nacionales del </w:t>
      </w:r>
      <w:r w:rsidR="009E11E6">
        <w:rPr>
          <w:lang w:val="es-ES"/>
        </w:rPr>
        <w:t>Programa de Predicción de Fenómenos Meteorológicos Adversos</w:t>
      </w:r>
      <w:r>
        <w:rPr>
          <w:lang w:val="es-ES"/>
        </w:rPr>
        <w:t xml:space="preserve"> (designados por los </w:t>
      </w:r>
      <w:r w:rsidR="002250A0">
        <w:rPr>
          <w:lang w:val="es-ES"/>
        </w:rPr>
        <w:t>R</w:t>
      </w:r>
      <w:r>
        <w:rPr>
          <w:lang w:val="es-ES"/>
        </w:rPr>
        <w:t xml:space="preserve">epresentantes </w:t>
      </w:r>
      <w:r w:rsidR="002250A0">
        <w:rPr>
          <w:lang w:val="es-ES"/>
        </w:rPr>
        <w:t>P</w:t>
      </w:r>
      <w:r>
        <w:rPr>
          <w:lang w:val="es-ES"/>
        </w:rPr>
        <w:t>ermanentes de los respectivos Miembros), o consiste en datos de acceso individuales asignados a usuarios concretos.</w:t>
      </w:r>
    </w:p>
    <w:p w14:paraId="4E33A5EF" w14:textId="26E1F47B" w:rsidR="003E5D1B" w:rsidRPr="008357EA" w:rsidRDefault="00E26782">
      <w:pPr>
        <w:spacing w:before="240" w:after="240"/>
        <w:rPr>
          <w:lang w:val="es-419"/>
        </w:rPr>
      </w:pPr>
      <w:r>
        <w:rPr>
          <w:lang w:val="es-ES"/>
        </w:rPr>
        <w:t xml:space="preserve">Los </w:t>
      </w:r>
      <w:r w:rsidR="006753E1">
        <w:rPr>
          <w:lang w:val="es-ES"/>
        </w:rPr>
        <w:t>CMN</w:t>
      </w:r>
      <w:r>
        <w:rPr>
          <w:lang w:val="es-ES"/>
        </w:rPr>
        <w:t xml:space="preserve"> vinculados pueden contribuir a la actividad del </w:t>
      </w:r>
      <w:r w:rsidR="00A95DEF">
        <w:rPr>
          <w:lang w:val="es-ES"/>
        </w:rPr>
        <w:t>CMRE</w:t>
      </w:r>
      <w:r>
        <w:rPr>
          <w:lang w:val="es-ES"/>
        </w:rPr>
        <w:t xml:space="preserve"> respectivo que hace predicciones </w:t>
      </w:r>
      <w:r w:rsidR="00AA467F">
        <w:rPr>
          <w:lang w:val="es-ES"/>
        </w:rPr>
        <w:t>de fenómenos meteorológicos adversos a escala regional</w:t>
      </w:r>
      <w:r>
        <w:rPr>
          <w:lang w:val="es-ES"/>
        </w:rPr>
        <w:t xml:space="preserve"> de las siguientes maneras (enumeración no taxativa): 1) proporcionando, en la medida de lo posible, los criterios respecto de los avisos de fenómenos meteorológicos </w:t>
      </w:r>
      <w:r w:rsidR="007346AD">
        <w:rPr>
          <w:lang w:val="es-ES"/>
        </w:rPr>
        <w:t>adversos</w:t>
      </w:r>
      <w:r>
        <w:rPr>
          <w:lang w:val="es-ES"/>
        </w:rPr>
        <w:t xml:space="preserve"> al </w:t>
      </w:r>
      <w:r w:rsidR="00DF589B">
        <w:rPr>
          <w:lang w:val="es-ES"/>
        </w:rPr>
        <w:t>CMRE pertinente</w:t>
      </w:r>
      <w:r>
        <w:rPr>
          <w:lang w:val="es-ES"/>
        </w:rPr>
        <w:t xml:space="preserve"> que participe en esa actividad; 2) evaluando los resultados de la predicción numérica del tiempo y brindando retroinformación a los </w:t>
      </w:r>
      <w:r w:rsidR="00A95DEF">
        <w:rPr>
          <w:lang w:val="es-ES"/>
        </w:rPr>
        <w:t>CMRE</w:t>
      </w:r>
      <w:r>
        <w:rPr>
          <w:lang w:val="es-ES"/>
        </w:rPr>
        <w:t xml:space="preserve"> y </w:t>
      </w:r>
      <w:r w:rsidR="00A95DEF">
        <w:rPr>
          <w:lang w:val="es-ES"/>
        </w:rPr>
        <w:t>CMM</w:t>
      </w:r>
      <w:r>
        <w:rPr>
          <w:lang w:val="es-ES"/>
        </w:rPr>
        <w:t xml:space="preserve"> pertinentes; 3) verificando las predicciones y los avisos nacionales o locales emitidos por los </w:t>
      </w:r>
      <w:r w:rsidR="006753E1">
        <w:rPr>
          <w:lang w:val="es-ES"/>
        </w:rPr>
        <w:t>CMN</w:t>
      </w:r>
      <w:r>
        <w:rPr>
          <w:lang w:val="es-ES"/>
        </w:rPr>
        <w:t xml:space="preserve">, y evaluando las orientaciones que el </w:t>
      </w:r>
      <w:r w:rsidR="00A95DEF">
        <w:rPr>
          <w:lang w:val="es-ES"/>
        </w:rPr>
        <w:t>CMRE</w:t>
      </w:r>
      <w:r>
        <w:rPr>
          <w:lang w:val="es-ES"/>
        </w:rPr>
        <w:t xml:space="preserve"> brinda de forma diaria sobre la predicción de fenómenos meteorológicos </w:t>
      </w:r>
      <w:r w:rsidR="007346AD">
        <w:rPr>
          <w:lang w:val="es-ES"/>
        </w:rPr>
        <w:t>adversos</w:t>
      </w:r>
      <w:r>
        <w:rPr>
          <w:lang w:val="es-ES"/>
        </w:rPr>
        <w:t xml:space="preserve"> en sus países; 4) compartiendo los resultados de la verificación con el </w:t>
      </w:r>
      <w:r w:rsidR="00A95DEF">
        <w:rPr>
          <w:lang w:val="es-ES"/>
        </w:rPr>
        <w:t>CMRE</w:t>
      </w:r>
      <w:r>
        <w:rPr>
          <w:lang w:val="es-ES"/>
        </w:rPr>
        <w:t xml:space="preserve">, y trabajando con dicho centro para mejorar en la medida de lo posible las orientaciones regionales sobre los fenómenos meteorológicos </w:t>
      </w:r>
      <w:r w:rsidR="007346AD">
        <w:rPr>
          <w:lang w:val="es-ES"/>
        </w:rPr>
        <w:t>adversos</w:t>
      </w:r>
      <w:r>
        <w:rPr>
          <w:lang w:val="es-ES"/>
        </w:rPr>
        <w:t xml:space="preserve">; </w:t>
      </w:r>
      <w:r w:rsidR="006753E1">
        <w:rPr>
          <w:lang w:val="es-ES"/>
        </w:rPr>
        <w:t>5</w:t>
      </w:r>
      <w:r>
        <w:rPr>
          <w:lang w:val="es-ES"/>
        </w:rPr>
        <w:t xml:space="preserve">) haciendo estudios de caso sobre fenómenos meteorológicos </w:t>
      </w:r>
      <w:r w:rsidR="007346AD">
        <w:rPr>
          <w:lang w:val="es-ES"/>
        </w:rPr>
        <w:t>adversos</w:t>
      </w:r>
      <w:r>
        <w:rPr>
          <w:lang w:val="es-ES"/>
        </w:rPr>
        <w:t xml:space="preserve"> y transmitiendo esa información al </w:t>
      </w:r>
      <w:r w:rsidR="00A95DEF">
        <w:rPr>
          <w:lang w:val="es-ES"/>
        </w:rPr>
        <w:t>CMRE</w:t>
      </w:r>
      <w:r>
        <w:rPr>
          <w:lang w:val="es-ES"/>
        </w:rPr>
        <w:t xml:space="preserve"> correspondiente, y 6) proporcionando otros datos observacionales al </w:t>
      </w:r>
      <w:r w:rsidR="00A95DEF">
        <w:rPr>
          <w:lang w:val="es-ES"/>
        </w:rPr>
        <w:t>CMRE</w:t>
      </w:r>
      <w:r>
        <w:rPr>
          <w:lang w:val="es-ES"/>
        </w:rPr>
        <w:t xml:space="preserve"> pertinente para que verifique los productos de orientación</w:t>
      </w:r>
      <w:r w:rsidR="0038717F">
        <w:rPr>
          <w:lang w:val="es-ES"/>
        </w:rPr>
        <w:t xml:space="preserve">. </w:t>
      </w:r>
    </w:p>
    <w:p w14:paraId="2E719E83" w14:textId="5D71C855" w:rsidR="003E5D1B" w:rsidRPr="008357EA" w:rsidRDefault="00E26782">
      <w:pPr>
        <w:spacing w:before="240" w:after="240" w:line="240" w:lineRule="exact"/>
        <w:rPr>
          <w:rFonts w:eastAsia="Verdana" w:cs="Verdana"/>
          <w:i/>
          <w:iCs/>
          <w:color w:val="000000" w:themeColor="text1"/>
          <w:lang w:val="es-419"/>
        </w:rPr>
      </w:pPr>
      <w:r>
        <w:rPr>
          <w:i/>
          <w:iCs/>
          <w:lang w:val="es-ES"/>
        </w:rPr>
        <w:t>2.3.2.5.2</w:t>
      </w:r>
      <w:r>
        <w:rPr>
          <w:lang w:val="es-ES"/>
        </w:rPr>
        <w:t xml:space="preserve"> </w:t>
      </w:r>
      <w:r w:rsidR="00947A8C" w:rsidRPr="00947A8C">
        <w:rPr>
          <w:i/>
          <w:iCs/>
          <w:lang w:val="es-ES"/>
        </w:rPr>
        <w:t>Esferas de aplicación y servicio que los CMRE podrían respaldar</w:t>
      </w:r>
    </w:p>
    <w:p w14:paraId="57DAD584" w14:textId="664F0438" w:rsidR="003E5D1B" w:rsidRPr="008357EA" w:rsidRDefault="00E26782">
      <w:pPr>
        <w:spacing w:before="240" w:after="240"/>
        <w:rPr>
          <w:lang w:val="es-419"/>
        </w:rPr>
      </w:pPr>
      <w:r>
        <w:rPr>
          <w:lang w:val="es-ES"/>
        </w:rPr>
        <w:t xml:space="preserve">Los productos que ponen a disposición los </w:t>
      </w:r>
      <w:r w:rsidR="00A95DEF">
        <w:rPr>
          <w:lang w:val="es-ES"/>
        </w:rPr>
        <w:t>CMRE</w:t>
      </w:r>
      <w:r>
        <w:rPr>
          <w:lang w:val="es-ES"/>
        </w:rPr>
        <w:t xml:space="preserve"> que hacen predicciones </w:t>
      </w:r>
      <w:r w:rsidR="00AA467F">
        <w:rPr>
          <w:lang w:val="es-ES"/>
        </w:rPr>
        <w:t>de fenómenos meteorológicos adversos a escala regional</w:t>
      </w:r>
      <w:r>
        <w:rPr>
          <w:lang w:val="es-ES"/>
        </w:rPr>
        <w:t xml:space="preserve"> respaldan muchos tipos de esferas de aplicación y servicio, pero sobre todo las siguientes:</w:t>
      </w:r>
    </w:p>
    <w:p w14:paraId="013DFF33" w14:textId="77777777" w:rsidR="003E5D1B" w:rsidRPr="008357EA" w:rsidRDefault="00E26782">
      <w:pPr>
        <w:spacing w:before="240" w:after="240"/>
        <w:ind w:left="709" w:hanging="709"/>
        <w:rPr>
          <w:lang w:val="es-419"/>
        </w:rPr>
      </w:pPr>
      <w:r>
        <w:rPr>
          <w:lang w:val="es-ES"/>
        </w:rPr>
        <w:t>i)</w:t>
      </w:r>
      <w:r>
        <w:rPr>
          <w:lang w:val="es-ES"/>
        </w:rPr>
        <w:tab/>
        <w:t>servicios públicos de predicción meteorológica, entre ellos los de predicción y avisos basados en el impacto;</w:t>
      </w:r>
    </w:p>
    <w:p w14:paraId="4273FDA0" w14:textId="77777777" w:rsidR="003E5D1B" w:rsidRPr="008357EA" w:rsidRDefault="00E26782">
      <w:pPr>
        <w:spacing w:before="240" w:after="240"/>
        <w:ind w:left="709" w:hanging="709"/>
        <w:rPr>
          <w:lang w:val="es-419"/>
        </w:rPr>
      </w:pPr>
      <w:r>
        <w:rPr>
          <w:lang w:val="es-ES"/>
        </w:rPr>
        <w:t>ii)</w:t>
      </w:r>
      <w:r>
        <w:rPr>
          <w:lang w:val="es-ES"/>
        </w:rPr>
        <w:tab/>
        <w:t xml:space="preserve">servicios de alerta temprana de peligros múltiples y reducción del riesgo de desastres; </w:t>
      </w:r>
    </w:p>
    <w:p w14:paraId="76D5C282" w14:textId="42DD7A89" w:rsidR="003E5D1B" w:rsidRPr="008357EA" w:rsidRDefault="00E26782" w:rsidP="00BA6CC2">
      <w:pPr>
        <w:spacing w:before="240" w:after="240"/>
        <w:ind w:left="709" w:hanging="709"/>
        <w:rPr>
          <w:lang w:val="es-419"/>
        </w:rPr>
      </w:pPr>
      <w:r>
        <w:rPr>
          <w:lang w:val="es-ES"/>
        </w:rPr>
        <w:t>iii)</w:t>
      </w:r>
      <w:r>
        <w:rPr>
          <w:lang w:val="es-ES"/>
        </w:rPr>
        <w:tab/>
        <w:t xml:space="preserve">servicios de predicción hidrológica, incluidos los relativos a las crecidas repentinas y los recursos hídricos; </w:t>
      </w:r>
    </w:p>
    <w:p w14:paraId="0193E34D" w14:textId="2927628B" w:rsidR="003E5D1B" w:rsidRPr="008357EA" w:rsidRDefault="00E26782" w:rsidP="00BA6CC2">
      <w:pPr>
        <w:spacing w:before="240" w:after="240"/>
        <w:ind w:left="709" w:hanging="709"/>
        <w:rPr>
          <w:lang w:val="es-419"/>
        </w:rPr>
      </w:pPr>
      <w:r>
        <w:rPr>
          <w:lang w:val="es-ES"/>
        </w:rPr>
        <w:t>iv)</w:t>
      </w:r>
      <w:r>
        <w:rPr>
          <w:lang w:val="es-ES"/>
        </w:rPr>
        <w:tab/>
        <w:t>servicios de agrometeorología;</w:t>
      </w:r>
    </w:p>
    <w:p w14:paraId="2183AE02" w14:textId="77777777" w:rsidR="003E5D1B" w:rsidRPr="008357EA" w:rsidRDefault="00E26782">
      <w:pPr>
        <w:spacing w:before="240" w:after="240"/>
        <w:ind w:left="709" w:hanging="709"/>
        <w:rPr>
          <w:lang w:val="es-419"/>
        </w:rPr>
      </w:pPr>
      <w:r>
        <w:rPr>
          <w:lang w:val="es-ES"/>
        </w:rPr>
        <w:t>v)</w:t>
      </w:r>
      <w:r>
        <w:rPr>
          <w:lang w:val="es-ES"/>
        </w:rPr>
        <w:tab/>
        <w:t xml:space="preserve">servicios urbanos; </w:t>
      </w:r>
    </w:p>
    <w:p w14:paraId="53B73C92" w14:textId="77777777" w:rsidR="003E5D1B" w:rsidRPr="008357EA" w:rsidRDefault="00E26782" w:rsidP="00BA6CC2">
      <w:pPr>
        <w:spacing w:before="240" w:after="240"/>
        <w:ind w:left="709" w:hanging="709"/>
        <w:rPr>
          <w:lang w:val="es-419"/>
        </w:rPr>
      </w:pPr>
      <w:r>
        <w:rPr>
          <w:lang w:val="es-ES"/>
        </w:rPr>
        <w:t xml:space="preserve">vi) </w:t>
      </w:r>
      <w:r>
        <w:rPr>
          <w:lang w:val="es-ES"/>
        </w:rPr>
        <w:tab/>
        <w:t>servicios meteorológicos marinos y aplicaciones oceánicas, y</w:t>
      </w:r>
    </w:p>
    <w:p w14:paraId="379B9B12" w14:textId="681C811A" w:rsidR="003E5D1B" w:rsidRPr="008357EA" w:rsidRDefault="00E26782" w:rsidP="00BA6CC2">
      <w:pPr>
        <w:spacing w:before="240" w:after="240"/>
        <w:ind w:left="709" w:hanging="709"/>
        <w:rPr>
          <w:lang w:val="es-419"/>
        </w:rPr>
      </w:pPr>
      <w:r>
        <w:rPr>
          <w:lang w:val="es-ES"/>
        </w:rPr>
        <w:lastRenderedPageBreak/>
        <w:t xml:space="preserve">vii) </w:t>
      </w:r>
      <w:r w:rsidR="00BA6CC2">
        <w:rPr>
          <w:lang w:val="es-ES"/>
        </w:rPr>
        <w:tab/>
      </w:r>
      <w:r>
        <w:rPr>
          <w:lang w:val="es-ES"/>
        </w:rPr>
        <w:t>servicios de meteorología aeronáutica.</w:t>
      </w:r>
    </w:p>
    <w:p w14:paraId="6798E498" w14:textId="654FB5FD" w:rsidR="003E5D1B" w:rsidRPr="00081545" w:rsidRDefault="00E26782">
      <w:pPr>
        <w:spacing w:before="240" w:after="240" w:line="240" w:lineRule="exact"/>
        <w:rPr>
          <w:rFonts w:eastAsia="Verdana" w:cs="Verdana"/>
          <w:i/>
          <w:iCs/>
          <w:color w:val="000000" w:themeColor="text1"/>
          <w:lang w:val="es-419"/>
        </w:rPr>
      </w:pPr>
      <w:r>
        <w:rPr>
          <w:i/>
          <w:iCs/>
          <w:lang w:val="es-ES"/>
        </w:rPr>
        <w:t>2.3.2.5.3</w:t>
      </w:r>
      <w:r>
        <w:rPr>
          <w:lang w:val="es-ES"/>
        </w:rPr>
        <w:t xml:space="preserve"> </w:t>
      </w:r>
      <w:r w:rsidR="008B0C15" w:rsidRPr="008B0C15">
        <w:rPr>
          <w:i/>
          <w:iCs/>
          <w:lang w:val="es-ES"/>
        </w:rPr>
        <w:t>Recomendaciones sobre la integración en el proceso nacional de predicción</w:t>
      </w:r>
    </w:p>
    <w:p w14:paraId="6F867A00" w14:textId="436CF3AA" w:rsidR="003E5D1B" w:rsidRPr="008357EA" w:rsidRDefault="00E26782">
      <w:pPr>
        <w:spacing w:before="240" w:after="240"/>
        <w:rPr>
          <w:lang w:val="es-419"/>
        </w:rPr>
      </w:pPr>
      <w:r>
        <w:rPr>
          <w:lang w:val="es-ES"/>
        </w:rPr>
        <w:t xml:space="preserve">En el apéndice 2.3.1 se describe el procedimiento de predicción recomendado para el período de predicción D+0 a D+3. Los productos de orientación relativos a la predicción </w:t>
      </w:r>
      <w:r w:rsidR="00AA467F">
        <w:rPr>
          <w:lang w:val="es-ES"/>
        </w:rPr>
        <w:t>de fenómenos meteorológicos adversos a escala regional</w:t>
      </w:r>
      <w:r>
        <w:rPr>
          <w:lang w:val="es-ES"/>
        </w:rPr>
        <w:t xml:space="preserve"> se suelen utilizar en los siguientes pasos de dicho apéndice: </w:t>
      </w:r>
    </w:p>
    <w:p w14:paraId="15034997" w14:textId="77777777" w:rsidR="003E5D1B" w:rsidRPr="008357EA" w:rsidRDefault="00E26782">
      <w:pPr>
        <w:widowControl w:val="0"/>
        <w:numPr>
          <w:ilvl w:val="0"/>
          <w:numId w:val="39"/>
        </w:numPr>
        <w:tabs>
          <w:tab w:val="clear" w:pos="1134"/>
        </w:tabs>
        <w:spacing w:before="240" w:after="240"/>
        <w:ind w:left="714" w:hanging="357"/>
        <w:rPr>
          <w:rFonts w:eastAsiaTheme="minorHAnsi" w:cstheme="minorBidi"/>
          <w:lang w:val="es-419"/>
        </w:rPr>
      </w:pPr>
      <w:r>
        <w:rPr>
          <w:lang w:val="es-ES"/>
        </w:rPr>
        <w:t>PASO 2: Análisis - Examinar los mapas de análisis basados en modelos.</w:t>
      </w:r>
    </w:p>
    <w:p w14:paraId="3A2AD570" w14:textId="77777777" w:rsidR="003E5D1B" w:rsidRPr="008357EA" w:rsidRDefault="00E26782">
      <w:pPr>
        <w:widowControl w:val="0"/>
        <w:numPr>
          <w:ilvl w:val="0"/>
          <w:numId w:val="39"/>
        </w:numPr>
        <w:tabs>
          <w:tab w:val="clear" w:pos="1134"/>
        </w:tabs>
        <w:spacing w:before="240" w:after="240"/>
        <w:ind w:left="714" w:hanging="357"/>
        <w:rPr>
          <w:rFonts w:eastAsiaTheme="minorHAnsi" w:cstheme="minorBidi"/>
          <w:lang w:val="es-419"/>
        </w:rPr>
      </w:pPr>
      <w:r>
        <w:rPr>
          <w:lang w:val="es-ES"/>
        </w:rPr>
        <w:t>PASO 3: Predicción actual - Examinar las orientaciones, los textos y los productos existentes.</w:t>
      </w:r>
    </w:p>
    <w:p w14:paraId="184AEA47" w14:textId="77777777" w:rsidR="003E5D1B" w:rsidRPr="008357EA" w:rsidRDefault="00E26782">
      <w:pPr>
        <w:widowControl w:val="0"/>
        <w:numPr>
          <w:ilvl w:val="0"/>
          <w:numId w:val="39"/>
        </w:numPr>
        <w:tabs>
          <w:tab w:val="clear" w:pos="1134"/>
        </w:tabs>
        <w:spacing w:before="240" w:after="240"/>
        <w:ind w:left="714" w:hanging="357"/>
        <w:rPr>
          <w:rFonts w:eastAsiaTheme="minorHAnsi" w:cstheme="minorBidi"/>
          <w:lang w:val="es-419"/>
        </w:rPr>
      </w:pPr>
      <w:r>
        <w:rPr>
          <w:lang w:val="es-ES"/>
        </w:rPr>
        <w:t>PASO 4: Predicción numérica del tiempo determinística - Examinar la evolución sinóptica que aparece en la predicción numérica del tiempo a escala mundial.</w:t>
      </w:r>
    </w:p>
    <w:p w14:paraId="0D0A6F4D" w14:textId="77777777" w:rsidR="003E5D1B" w:rsidRPr="008357EA" w:rsidRDefault="00E26782">
      <w:pPr>
        <w:widowControl w:val="0"/>
        <w:numPr>
          <w:ilvl w:val="0"/>
          <w:numId w:val="39"/>
        </w:numPr>
        <w:tabs>
          <w:tab w:val="clear" w:pos="1134"/>
        </w:tabs>
        <w:spacing w:before="240" w:after="240"/>
        <w:ind w:left="714" w:hanging="357"/>
        <w:rPr>
          <w:rFonts w:eastAsiaTheme="minorHAnsi" w:cstheme="minorBidi"/>
          <w:lang w:val="es-419"/>
        </w:rPr>
      </w:pPr>
      <w:r>
        <w:rPr>
          <w:lang w:val="es-ES"/>
        </w:rPr>
        <w:t>PASO 5: Predicción numérica del tiempo por conjuntos - Examinar la coincidencia entre las medias de los conjuntos y la predicción numérica del tiempo determinística.</w:t>
      </w:r>
    </w:p>
    <w:p w14:paraId="645C97B7" w14:textId="77777777" w:rsidR="003E5D1B" w:rsidRPr="008357EA" w:rsidRDefault="00E26782">
      <w:pPr>
        <w:widowControl w:val="0"/>
        <w:numPr>
          <w:ilvl w:val="0"/>
          <w:numId w:val="39"/>
        </w:numPr>
        <w:tabs>
          <w:tab w:val="clear" w:pos="1134"/>
        </w:tabs>
        <w:spacing w:before="240" w:after="240"/>
        <w:ind w:left="714" w:hanging="357"/>
        <w:rPr>
          <w:rFonts w:eastAsiaTheme="minorHAnsi" w:cstheme="minorBidi"/>
          <w:lang w:val="es-419"/>
        </w:rPr>
      </w:pPr>
      <w:r>
        <w:rPr>
          <w:lang w:val="es-ES"/>
        </w:rPr>
        <w:t>PASO 6: Debate - Acordar una predicción consensuada.</w:t>
      </w:r>
    </w:p>
    <w:p w14:paraId="4F3530E7" w14:textId="77777777" w:rsidR="003E5D1B" w:rsidRPr="008357EA" w:rsidRDefault="00E26782">
      <w:pPr>
        <w:widowControl w:val="0"/>
        <w:numPr>
          <w:ilvl w:val="0"/>
          <w:numId w:val="39"/>
        </w:numPr>
        <w:tabs>
          <w:tab w:val="clear" w:pos="1134"/>
        </w:tabs>
        <w:spacing w:before="240" w:after="240"/>
        <w:ind w:left="714" w:hanging="357"/>
        <w:rPr>
          <w:rFonts w:eastAsiaTheme="minorHAnsi" w:cstheme="minorBidi"/>
          <w:lang w:val="es-419"/>
        </w:rPr>
      </w:pPr>
      <w:r>
        <w:rPr>
          <w:lang w:val="es-ES"/>
        </w:rPr>
        <w:t>PASO 9: Examinar la predicción y emitir actualizaciones - La predicción a corto plazo hasta D+3 puede actualizarse de forma periódica en la escala a muy corto plazo (por ejemplo, cada 6 o 12 horas) y en la escala de predicción inmediata (por ejemplo, cada 3 horas) teniendo en cuenta las observaciones, entre ellas las procedentes de radares y satélites, así como los productos de predicción inmediata y los resultados de los modelos de predicción inmediata, si están disponibles.</w:t>
      </w:r>
    </w:p>
    <w:p w14:paraId="46A1FD90" w14:textId="52C73CFF" w:rsidR="003E5D1B" w:rsidRPr="008357EA" w:rsidRDefault="00E26782">
      <w:pPr>
        <w:spacing w:before="240" w:after="240"/>
        <w:rPr>
          <w:lang w:val="es-419"/>
        </w:rPr>
      </w:pPr>
      <w:r>
        <w:rPr>
          <w:lang w:val="es-ES"/>
        </w:rPr>
        <w:t xml:space="preserve">En el apéndice 2.3.2 de la presente Guía se describe el procedimiento de predicción recomendado para el período de predicción D+4 a D+10. Los productos de orientación relativos a la predicción </w:t>
      </w:r>
      <w:r w:rsidR="00AA467F">
        <w:rPr>
          <w:lang w:val="es-ES"/>
        </w:rPr>
        <w:t>de fenómenos meteorológicos adversos a escala regional</w:t>
      </w:r>
      <w:r>
        <w:rPr>
          <w:lang w:val="es-ES"/>
        </w:rPr>
        <w:t xml:space="preserve"> se suelen utilizar en los siguientes pasos de dicho apéndice: </w:t>
      </w:r>
    </w:p>
    <w:p w14:paraId="4F894984" w14:textId="77777777" w:rsidR="003E5D1B" w:rsidRPr="008357EA" w:rsidRDefault="00E26782">
      <w:pPr>
        <w:widowControl w:val="0"/>
        <w:numPr>
          <w:ilvl w:val="0"/>
          <w:numId w:val="40"/>
        </w:numPr>
        <w:tabs>
          <w:tab w:val="clear" w:pos="1134"/>
        </w:tabs>
        <w:spacing w:after="200"/>
        <w:ind w:left="714" w:hanging="357"/>
        <w:rPr>
          <w:rFonts w:eastAsiaTheme="minorHAnsi" w:cstheme="minorBidi"/>
          <w:lang w:val="es-419"/>
        </w:rPr>
      </w:pPr>
      <w:r>
        <w:rPr>
          <w:lang w:val="es-ES"/>
        </w:rPr>
        <w:t>PASO 1: Examinar las orientaciones ya preparadas relativas al período de predicción D+0 a D+3.</w:t>
      </w:r>
    </w:p>
    <w:p w14:paraId="60D61C60" w14:textId="77777777" w:rsidR="003E5D1B" w:rsidRPr="008357EA" w:rsidRDefault="00E26782">
      <w:pPr>
        <w:widowControl w:val="0"/>
        <w:numPr>
          <w:ilvl w:val="0"/>
          <w:numId w:val="40"/>
        </w:numPr>
        <w:tabs>
          <w:tab w:val="clear" w:pos="1134"/>
        </w:tabs>
        <w:spacing w:after="200"/>
        <w:ind w:left="714" w:hanging="357"/>
        <w:rPr>
          <w:rFonts w:eastAsiaTheme="minorHAnsi" w:cstheme="minorBidi"/>
          <w:lang w:val="es-419"/>
        </w:rPr>
      </w:pPr>
      <w:r>
        <w:rPr>
          <w:lang w:val="es-ES"/>
        </w:rPr>
        <w:t>PASO 2: Predicción numérica del tiempo determinística - Examinar la evolución sinóptica que aparece en la predicción numérica del tiempo a escala mundial.</w:t>
      </w:r>
    </w:p>
    <w:p w14:paraId="110B7D66" w14:textId="77777777" w:rsidR="003E5D1B" w:rsidRPr="008357EA" w:rsidRDefault="00E26782">
      <w:pPr>
        <w:widowControl w:val="0"/>
        <w:numPr>
          <w:ilvl w:val="0"/>
          <w:numId w:val="40"/>
        </w:numPr>
        <w:tabs>
          <w:tab w:val="clear" w:pos="1134"/>
        </w:tabs>
        <w:spacing w:after="200"/>
        <w:ind w:left="714" w:hanging="357"/>
        <w:rPr>
          <w:rFonts w:eastAsiaTheme="minorHAnsi" w:cstheme="minorBidi"/>
          <w:lang w:val="es-419"/>
        </w:rPr>
      </w:pPr>
      <w:r>
        <w:rPr>
          <w:lang w:val="es-ES"/>
        </w:rPr>
        <w:t>PASO 3: Predicción numérica del tiempo por conjuntos - Examinar la coincidencia entre las medias de los conjuntos y la predicción numérica del tiempo determinística.</w:t>
      </w:r>
    </w:p>
    <w:p w14:paraId="00D66276" w14:textId="713DA9BB" w:rsidR="003E5D1B" w:rsidRPr="008357EA" w:rsidRDefault="00E26782">
      <w:pPr>
        <w:widowControl w:val="0"/>
        <w:numPr>
          <w:ilvl w:val="0"/>
          <w:numId w:val="40"/>
        </w:numPr>
        <w:tabs>
          <w:tab w:val="clear" w:pos="1134"/>
        </w:tabs>
        <w:spacing w:after="200"/>
        <w:ind w:left="714" w:hanging="357"/>
        <w:rPr>
          <w:rFonts w:eastAsiaTheme="minorHAnsi" w:cstheme="minorBidi"/>
          <w:lang w:val="es-419"/>
        </w:rPr>
      </w:pPr>
      <w:r>
        <w:rPr>
          <w:lang w:val="es-ES"/>
        </w:rPr>
        <w:t xml:space="preserve">PASO 4: </w:t>
      </w:r>
      <w:r w:rsidR="00C71F64">
        <w:rPr>
          <w:lang w:val="es-ES"/>
        </w:rPr>
        <w:t>¿Condiciones adversas?</w:t>
      </w:r>
      <w:r>
        <w:rPr>
          <w:lang w:val="es-ES"/>
        </w:rPr>
        <w:t xml:space="preserve"> - Observar las señales intensas de </w:t>
      </w:r>
      <w:r w:rsidR="00C71F64">
        <w:rPr>
          <w:lang w:val="es-ES"/>
        </w:rPr>
        <w:t>posibles condiciones meteorológicas anómalas y adversas</w:t>
      </w:r>
      <w:r>
        <w:rPr>
          <w:lang w:val="es-ES"/>
        </w:rPr>
        <w:t>.</w:t>
      </w:r>
    </w:p>
    <w:p w14:paraId="3B8C0962" w14:textId="77777777" w:rsidR="003E5D1B" w:rsidRPr="008357EA" w:rsidRDefault="00E26782">
      <w:pPr>
        <w:widowControl w:val="0"/>
        <w:numPr>
          <w:ilvl w:val="0"/>
          <w:numId w:val="40"/>
        </w:numPr>
        <w:tabs>
          <w:tab w:val="clear" w:pos="1134"/>
        </w:tabs>
        <w:spacing w:after="200"/>
        <w:ind w:left="714" w:hanging="357"/>
        <w:rPr>
          <w:rFonts w:eastAsiaTheme="minorHAnsi" w:cstheme="minorBidi"/>
          <w:lang w:val="es-419"/>
        </w:rPr>
      </w:pPr>
      <w:r>
        <w:rPr>
          <w:lang w:val="es-ES"/>
        </w:rPr>
        <w:t>PASO 5: Orientaciones internas - Preparar un texto breve en que se resuma la predicción consensuada.</w:t>
      </w:r>
    </w:p>
    <w:p w14:paraId="0650B725" w14:textId="5367BE05" w:rsidR="003E5D1B" w:rsidRPr="008357EA" w:rsidRDefault="00E26782">
      <w:pPr>
        <w:widowControl w:val="0"/>
        <w:numPr>
          <w:ilvl w:val="0"/>
          <w:numId w:val="40"/>
        </w:numPr>
        <w:tabs>
          <w:tab w:val="clear" w:pos="1134"/>
        </w:tabs>
        <w:spacing w:after="200"/>
        <w:ind w:left="714" w:hanging="357"/>
        <w:rPr>
          <w:rFonts w:eastAsiaTheme="minorHAnsi" w:cstheme="minorBidi"/>
          <w:lang w:val="es-419"/>
        </w:rPr>
      </w:pPr>
      <w:r>
        <w:rPr>
          <w:lang w:val="es-ES"/>
        </w:rPr>
        <w:t xml:space="preserve">PASO 6: Predicción - Preparar el texto de la predicción, las predicciones relativas a lugares concretos y otros productos </w:t>
      </w:r>
      <w:r w:rsidR="005D102F">
        <w:rPr>
          <w:lang w:val="es-ES"/>
        </w:rPr>
        <w:t>sobre la base del documento de orientaciones descrito anteriormente</w:t>
      </w:r>
      <w:r>
        <w:rPr>
          <w:lang w:val="es-ES"/>
        </w:rPr>
        <w:t>.</w:t>
      </w:r>
    </w:p>
    <w:p w14:paraId="618EAA68" w14:textId="77777777" w:rsidR="003E5D1B" w:rsidRPr="008357EA" w:rsidRDefault="00E26782">
      <w:pPr>
        <w:widowControl w:val="0"/>
        <w:numPr>
          <w:ilvl w:val="0"/>
          <w:numId w:val="40"/>
        </w:numPr>
        <w:tabs>
          <w:tab w:val="clear" w:pos="1134"/>
        </w:tabs>
        <w:spacing w:after="200"/>
        <w:ind w:left="714" w:hanging="357"/>
        <w:rPr>
          <w:rFonts w:eastAsiaTheme="minorHAnsi" w:cstheme="minorBidi"/>
          <w:lang w:val="es-419"/>
        </w:rPr>
      </w:pPr>
      <w:r>
        <w:rPr>
          <w:lang w:val="es-ES"/>
        </w:rPr>
        <w:t>PASO 7: Actualización - Actualizar la predicción a diario.</w:t>
      </w:r>
    </w:p>
    <w:p w14:paraId="392C38D0" w14:textId="4AA9F0DE" w:rsidR="003E5D1B" w:rsidRPr="008357EA" w:rsidRDefault="00E26782">
      <w:pPr>
        <w:spacing w:line="240" w:lineRule="exact"/>
        <w:rPr>
          <w:rFonts w:eastAsia="Verdana" w:cs="Verdana"/>
          <w:i/>
          <w:iCs/>
          <w:color w:val="000000" w:themeColor="text1"/>
          <w:lang w:val="es-419"/>
        </w:rPr>
      </w:pPr>
      <w:r>
        <w:rPr>
          <w:i/>
          <w:iCs/>
          <w:lang w:val="es-ES"/>
        </w:rPr>
        <w:t>2.3.2.5.4</w:t>
      </w:r>
      <w:r>
        <w:rPr>
          <w:lang w:val="es-ES"/>
        </w:rPr>
        <w:t xml:space="preserve"> </w:t>
      </w:r>
      <w:r w:rsidR="00947A8C" w:rsidRPr="00947A8C">
        <w:rPr>
          <w:i/>
          <w:iCs/>
          <w:lang w:val="es-ES"/>
        </w:rPr>
        <w:t>Mecanismo de retroinformación sobre la utilidad y exactitud de los productos</w:t>
      </w:r>
    </w:p>
    <w:p w14:paraId="708C6604" w14:textId="20B4B4B4" w:rsidR="003E5D1B" w:rsidRPr="008357EA" w:rsidRDefault="00E26782">
      <w:pPr>
        <w:rPr>
          <w:lang w:val="es-419"/>
        </w:rPr>
      </w:pPr>
      <w:r>
        <w:rPr>
          <w:lang w:val="es-ES"/>
        </w:rPr>
        <w:t xml:space="preserve">Se anima a los </w:t>
      </w:r>
      <w:r w:rsidR="006753E1">
        <w:rPr>
          <w:lang w:val="es-ES"/>
        </w:rPr>
        <w:t>CMN</w:t>
      </w:r>
      <w:r>
        <w:rPr>
          <w:lang w:val="es-ES"/>
        </w:rPr>
        <w:t xml:space="preserve"> vinculados a aplicar los procedimientos de verificación acordados para verificar los productos de predicción de fenómenos meteorológicos </w:t>
      </w:r>
      <w:r w:rsidR="00C72779">
        <w:rPr>
          <w:lang w:val="es-ES"/>
        </w:rPr>
        <w:t>adversos</w:t>
      </w:r>
      <w:r>
        <w:rPr>
          <w:lang w:val="es-ES"/>
        </w:rPr>
        <w:t xml:space="preserve"> emitidos por el </w:t>
      </w:r>
      <w:r w:rsidR="00A95DEF">
        <w:rPr>
          <w:lang w:val="es-ES"/>
        </w:rPr>
        <w:lastRenderedPageBreak/>
        <w:t>CMRE</w:t>
      </w:r>
      <w:r>
        <w:rPr>
          <w:lang w:val="es-ES"/>
        </w:rPr>
        <w:t xml:space="preserve"> pertinente que hace predicciones de esos fenómenos a escala regional, y a poner los resultados de la verificación a disposición del centro que </w:t>
      </w:r>
      <w:r w:rsidR="00261A89">
        <w:rPr>
          <w:lang w:val="es-ES"/>
        </w:rPr>
        <w:t>elaboró esos productos</w:t>
      </w:r>
      <w:r>
        <w:rPr>
          <w:lang w:val="es-ES"/>
        </w:rPr>
        <w:t>.</w:t>
      </w:r>
    </w:p>
    <w:p w14:paraId="55329B37" w14:textId="71EC0EF8" w:rsidR="003E5D1B" w:rsidRPr="008357EA" w:rsidRDefault="00E26782">
      <w:pPr>
        <w:keepNext/>
        <w:spacing w:before="240" w:after="240" w:line="240" w:lineRule="exact"/>
        <w:ind w:left="1123" w:hanging="1123"/>
        <w:outlineLvl w:val="5"/>
        <w:rPr>
          <w:rFonts w:eastAsiaTheme="minorEastAsia" w:cstheme="majorBidi"/>
          <w:b/>
          <w:bCs/>
          <w:i/>
          <w:iCs/>
          <w:color w:val="000000" w:themeColor="text1"/>
          <w:lang w:val="es-419"/>
        </w:rPr>
      </w:pPr>
      <w:bookmarkStart w:id="162" w:name="_Toc109993391"/>
      <w:bookmarkStart w:id="163" w:name="_Toc113003328"/>
      <w:bookmarkStart w:id="164" w:name="_Toc113024453"/>
      <w:bookmarkStart w:id="165" w:name="_Toc117501985"/>
      <w:r>
        <w:rPr>
          <w:b/>
          <w:bCs/>
          <w:i/>
          <w:iCs/>
          <w:lang w:val="es-ES"/>
        </w:rPr>
        <w:t>2.3.2.6</w:t>
      </w:r>
      <w:r>
        <w:rPr>
          <w:lang w:val="es-ES"/>
        </w:rPr>
        <w:t xml:space="preserve"> </w:t>
      </w:r>
      <w:r>
        <w:rPr>
          <w:b/>
          <w:bCs/>
          <w:i/>
          <w:iCs/>
          <w:lang w:val="es-ES"/>
        </w:rPr>
        <w:t>Predicción de ciclones tropicales, incluidos los peligros relacionados con el mar</w:t>
      </w:r>
      <w:r>
        <w:rPr>
          <w:lang w:val="es-ES"/>
        </w:rPr>
        <w:t xml:space="preserve"> </w:t>
      </w:r>
      <w:bookmarkEnd w:id="162"/>
      <w:bookmarkEnd w:id="163"/>
      <w:bookmarkEnd w:id="164"/>
      <w:bookmarkEnd w:id="165"/>
    </w:p>
    <w:p w14:paraId="11797F40" w14:textId="28C1E738" w:rsidR="003E5D1B" w:rsidRPr="00E0128D" w:rsidRDefault="00E26782">
      <w:pPr>
        <w:spacing w:before="240" w:after="240"/>
        <w:rPr>
          <w:rFonts w:eastAsia="Verdana" w:cs="Verdana"/>
          <w:i/>
          <w:iCs/>
          <w:lang w:val="es-419"/>
        </w:rPr>
      </w:pPr>
      <w:r>
        <w:rPr>
          <w:i/>
          <w:iCs/>
          <w:lang w:val="es-ES"/>
        </w:rPr>
        <w:t>2.3.2.6.1</w:t>
      </w:r>
      <w:r>
        <w:rPr>
          <w:lang w:val="es-ES"/>
        </w:rPr>
        <w:t xml:space="preserve"> </w:t>
      </w:r>
      <w:r w:rsidRPr="00E0128D">
        <w:rPr>
          <w:i/>
          <w:iCs/>
          <w:lang w:val="es-ES"/>
        </w:rPr>
        <w:t xml:space="preserve">Resumen general de la actividad de los </w:t>
      </w:r>
      <w:r w:rsidR="00A95DEF" w:rsidRPr="00E0128D">
        <w:rPr>
          <w:i/>
          <w:iCs/>
          <w:lang w:val="es-ES"/>
        </w:rPr>
        <w:t>CMRE</w:t>
      </w:r>
    </w:p>
    <w:p w14:paraId="7D136DCC" w14:textId="0BA3525F" w:rsidR="003E5D1B" w:rsidRPr="008357EA" w:rsidRDefault="00E26782">
      <w:pPr>
        <w:spacing w:before="240" w:after="240"/>
        <w:rPr>
          <w:rFonts w:eastAsia="Verdana" w:cs="Verdana"/>
          <w:lang w:val="es-419"/>
        </w:rPr>
      </w:pPr>
      <w:r>
        <w:rPr>
          <w:lang w:val="es-ES"/>
        </w:rPr>
        <w:t xml:space="preserve">Los </w:t>
      </w:r>
      <w:r w:rsidR="00A95DEF">
        <w:rPr>
          <w:lang w:val="es-ES"/>
        </w:rPr>
        <w:t>CMRE</w:t>
      </w:r>
      <w:r>
        <w:rPr>
          <w:lang w:val="es-ES"/>
        </w:rPr>
        <w:t xml:space="preserve"> que hacen predicciones de ciclones tropicales llevan a cabo las siguientes actividades: realizan el seguimiento continuo de los fenómenos meteorológicos, como la actividad convectiva, para predecir o detectar la formación de ciclones tropicales; analizan, pronostican y denominan los ciclones tropicales, y emiten advertencias sobre ellos </w:t>
      </w:r>
      <w:r w:rsidR="00E0128D">
        <w:rPr>
          <w:lang w:val="es-ES"/>
        </w:rPr>
        <w:t xml:space="preserve">dirigidas a los CMN vinculados, </w:t>
      </w:r>
      <w:r>
        <w:rPr>
          <w:lang w:val="es-ES"/>
        </w:rPr>
        <w:t xml:space="preserve">con información sobre los peligros asociados. </w:t>
      </w:r>
      <w:r w:rsidR="00E0128D">
        <w:rPr>
          <w:lang w:val="es-ES"/>
        </w:rPr>
        <w:t>También r</w:t>
      </w:r>
      <w:r>
        <w:rPr>
          <w:lang w:val="es-ES"/>
        </w:rPr>
        <w:t>ealizan análisis ulteriores a los fenómenos y los ponen a disposición de la comunidad de ciclones tropicales</w:t>
      </w:r>
      <w:r w:rsidR="00E0128D">
        <w:rPr>
          <w:lang w:val="es-ES"/>
        </w:rPr>
        <w:t>, y p</w:t>
      </w:r>
      <w:r>
        <w:rPr>
          <w:lang w:val="es-ES"/>
        </w:rPr>
        <w:t>romueven la investigación y el desarrollo, así como la formación relativa a las técnicas relacionadas con los ciclones tropicales.</w:t>
      </w:r>
    </w:p>
    <w:p w14:paraId="6D682A1C" w14:textId="5FDEA100" w:rsidR="003E5D1B" w:rsidRPr="008357EA" w:rsidRDefault="00E26782">
      <w:pPr>
        <w:spacing w:before="240" w:after="240"/>
        <w:rPr>
          <w:rFonts w:eastAsia="Verdana" w:cs="Verdana"/>
          <w:lang w:val="es-419"/>
        </w:rPr>
      </w:pPr>
      <w:r>
        <w:rPr>
          <w:lang w:val="es-ES"/>
        </w:rPr>
        <w:t xml:space="preserve">Además de su misión operativa de vigilar y predecir los ciclones tropicales en tiempo real, los </w:t>
      </w:r>
      <w:r w:rsidR="00A95DEF">
        <w:rPr>
          <w:lang w:val="es-ES"/>
        </w:rPr>
        <w:t>CMRE</w:t>
      </w:r>
      <w:r>
        <w:rPr>
          <w:lang w:val="es-ES"/>
        </w:rPr>
        <w:t xml:space="preserve"> también pueden elaborar y difundir productos relacionados con la actividad de los ciclones tropicales pronosticada en relación con escalas de tiempo más prolongadas, como la subestacional o la estacional. Esos </w:t>
      </w:r>
      <w:r w:rsidR="00A95DEF">
        <w:rPr>
          <w:lang w:val="es-ES"/>
        </w:rPr>
        <w:t>CMRE</w:t>
      </w:r>
      <w:r>
        <w:rPr>
          <w:lang w:val="es-ES"/>
        </w:rPr>
        <w:t xml:space="preserve"> cubren las seis cuencas que están expuestas a los ciclones tropicales. Su actividad se coordina en el marco de los organismos regionales especializados en ciclones tropicales, entre los que hay dos organismos intergubernamentales regionales (el Comité de Tifones CESPAP/OMM y el </w:t>
      </w:r>
      <w:r w:rsidR="009C190E">
        <w:rPr>
          <w:lang w:val="es-ES"/>
        </w:rPr>
        <w:t>Grupo de Expertos OMM/CESPAP sobre Ciclones Tropicales</w:t>
      </w:r>
      <w:r>
        <w:rPr>
          <w:lang w:val="es-ES"/>
        </w:rPr>
        <w:t xml:space="preserve">), y se basa en la estrecha colaboración con los </w:t>
      </w:r>
      <w:r w:rsidR="006753E1">
        <w:rPr>
          <w:lang w:val="es-ES"/>
        </w:rPr>
        <w:t>CMN</w:t>
      </w:r>
      <w:r>
        <w:rPr>
          <w:lang w:val="es-ES"/>
        </w:rPr>
        <w:t xml:space="preserve"> vinculados.</w:t>
      </w:r>
    </w:p>
    <w:p w14:paraId="50246FE1" w14:textId="25B3171E" w:rsidR="003E5D1B" w:rsidRPr="00833488" w:rsidRDefault="00E26782">
      <w:pPr>
        <w:spacing w:before="240" w:after="240"/>
        <w:rPr>
          <w:rFonts w:eastAsia="Verdana" w:cs="Verdana"/>
          <w:i/>
          <w:iCs/>
          <w:color w:val="000000" w:themeColor="text1"/>
          <w:lang w:val="es-419"/>
        </w:rPr>
      </w:pPr>
      <w:r>
        <w:rPr>
          <w:lang w:val="es-ES"/>
        </w:rPr>
        <w:t xml:space="preserve">i) </w:t>
      </w:r>
      <w:r w:rsidR="00947A8C" w:rsidRPr="00947A8C">
        <w:rPr>
          <w:i/>
          <w:iCs/>
          <w:lang w:val="es-ES"/>
        </w:rPr>
        <w:t>Centros designados y modalidad de trabajo</w:t>
      </w:r>
    </w:p>
    <w:p w14:paraId="20E4E062" w14:textId="72AEDA9A" w:rsidR="003E5D1B" w:rsidRPr="008357EA" w:rsidRDefault="00E26782">
      <w:pPr>
        <w:spacing w:before="240" w:after="240"/>
        <w:rPr>
          <w:rFonts w:eastAsia="Verdana" w:cs="Verdana"/>
          <w:i/>
          <w:iCs/>
          <w:color w:val="000000" w:themeColor="text1"/>
          <w:lang w:val="es-419"/>
        </w:rPr>
      </w:pPr>
      <w:r>
        <w:rPr>
          <w:lang w:val="es-ES"/>
        </w:rPr>
        <w:t xml:space="preserve">La lista de los </w:t>
      </w:r>
      <w:r w:rsidR="00A95DEF">
        <w:rPr>
          <w:lang w:val="es-ES"/>
        </w:rPr>
        <w:t>CMRE</w:t>
      </w:r>
      <w:r>
        <w:rPr>
          <w:lang w:val="es-ES"/>
        </w:rPr>
        <w:t xml:space="preserve"> designados para la predicción de ciclones tropicales figura en la parte III del </w:t>
      </w:r>
      <w:r w:rsidR="00B36420" w:rsidRPr="00B36420">
        <w:rPr>
          <w:i/>
          <w:iCs/>
          <w:lang w:val="es-ES"/>
        </w:rPr>
        <w:t>Manual del GDPFS</w:t>
      </w:r>
      <w:r>
        <w:rPr>
          <w:lang w:val="es-ES"/>
        </w:rPr>
        <w:t>.</w:t>
      </w:r>
    </w:p>
    <w:p w14:paraId="0780DAAF" w14:textId="25EEF229" w:rsidR="003E5D1B" w:rsidRPr="008357EA" w:rsidRDefault="00E26782">
      <w:pPr>
        <w:spacing w:before="240" w:after="240"/>
        <w:rPr>
          <w:rFonts w:eastAsia="Verdana" w:cs="Verdana"/>
          <w:i/>
          <w:iCs/>
          <w:color w:val="000000" w:themeColor="text1"/>
          <w:lang w:val="es-419"/>
        </w:rPr>
      </w:pPr>
      <w:r>
        <w:rPr>
          <w:lang w:val="es-ES"/>
        </w:rPr>
        <w:t xml:space="preserve">ii) </w:t>
      </w:r>
      <w:r w:rsidR="00947A8C" w:rsidRPr="00947A8C">
        <w:rPr>
          <w:i/>
          <w:iCs/>
          <w:lang w:val="es-ES"/>
        </w:rPr>
        <w:t>Qué beneficios pueden obtener los CMN de los CMRE y cómo pueden contribuir con ellos</w:t>
      </w:r>
    </w:p>
    <w:p w14:paraId="75521F32" w14:textId="24DD6DE5" w:rsidR="003E5D1B" w:rsidRPr="008357EA" w:rsidRDefault="00E26782">
      <w:pPr>
        <w:spacing w:before="240" w:after="240"/>
        <w:rPr>
          <w:rFonts w:eastAsia="Verdana" w:cs="Verdana"/>
          <w:lang w:val="es-419"/>
        </w:rPr>
      </w:pPr>
      <w:r>
        <w:rPr>
          <w:lang w:val="es-ES"/>
        </w:rPr>
        <w:t xml:space="preserve">Para acceder a los datos y los productos que los </w:t>
      </w:r>
      <w:r w:rsidR="00A95DEF">
        <w:rPr>
          <w:lang w:val="es-ES"/>
        </w:rPr>
        <w:t>CMRE</w:t>
      </w:r>
      <w:r>
        <w:rPr>
          <w:lang w:val="es-ES"/>
        </w:rPr>
        <w:t xml:space="preserve"> ponen a disposición, los </w:t>
      </w:r>
      <w:r w:rsidR="006753E1">
        <w:rPr>
          <w:lang w:val="es-ES"/>
        </w:rPr>
        <w:t>CMN</w:t>
      </w:r>
      <w:r>
        <w:rPr>
          <w:lang w:val="es-ES"/>
        </w:rPr>
        <w:t xml:space="preserve"> pueden utilizar el </w:t>
      </w:r>
      <w:r w:rsidR="001C5219">
        <w:rPr>
          <w:lang w:val="es-ES"/>
        </w:rPr>
        <w:t>WIS</w:t>
      </w:r>
      <w:r>
        <w:rPr>
          <w:lang w:val="es-ES"/>
        </w:rPr>
        <w:t xml:space="preserve"> y los sitios web de los </w:t>
      </w:r>
      <w:r w:rsidR="00A95DEF">
        <w:rPr>
          <w:lang w:val="es-ES"/>
        </w:rPr>
        <w:t>CMRE</w:t>
      </w:r>
      <w:r>
        <w:rPr>
          <w:lang w:val="es-ES"/>
        </w:rPr>
        <w:t xml:space="preserve"> especializados (</w:t>
      </w:r>
      <w:hyperlink r:id="rId49" w:history="1">
        <w:r w:rsidR="00833488">
          <w:rPr>
            <w:rStyle w:val="Hyperlink"/>
            <w:lang w:val="es-ES"/>
          </w:rPr>
          <w:t>Ó</w:t>
        </w:r>
        <w:r w:rsidR="00833488" w:rsidRPr="00833488">
          <w:rPr>
            <w:rStyle w:val="Hyperlink"/>
            <w:lang w:val="es-ES"/>
          </w:rPr>
          <w:t>rganos regionales especializados en ciclones tropicales</w:t>
        </w:r>
        <w:r w:rsidRPr="00833488">
          <w:rPr>
            <w:rStyle w:val="Hyperlink"/>
            <w:lang w:val="es-ES"/>
          </w:rPr>
          <w:t xml:space="preserve"> | </w:t>
        </w:r>
        <w:r w:rsidR="00833488">
          <w:rPr>
            <w:rStyle w:val="Hyperlink"/>
            <w:lang w:val="es-ES"/>
          </w:rPr>
          <w:t>Organización Meteorológica Mundial</w:t>
        </w:r>
        <w:r w:rsidRPr="00833488">
          <w:rPr>
            <w:rStyle w:val="Hyperlink"/>
            <w:lang w:val="es-ES"/>
          </w:rPr>
          <w:t xml:space="preserve"> (wmo.int)</w:t>
        </w:r>
      </w:hyperlink>
      <w:r>
        <w:rPr>
          <w:lang w:val="es-ES"/>
        </w:rPr>
        <w:t>).</w:t>
      </w:r>
    </w:p>
    <w:p w14:paraId="6A83C722" w14:textId="2E076E42" w:rsidR="003E5D1B" w:rsidRPr="008357EA" w:rsidRDefault="00E26782">
      <w:pPr>
        <w:spacing w:before="240" w:after="240"/>
        <w:rPr>
          <w:rFonts w:eastAsia="Verdana" w:cs="Verdana"/>
          <w:lang w:val="es-419"/>
        </w:rPr>
      </w:pPr>
      <w:r>
        <w:rPr>
          <w:lang w:val="es-ES"/>
        </w:rPr>
        <w:t xml:space="preserve">Los </w:t>
      </w:r>
      <w:r w:rsidR="006753E1">
        <w:rPr>
          <w:lang w:val="es-ES"/>
        </w:rPr>
        <w:t>CMN</w:t>
      </w:r>
      <w:r>
        <w:rPr>
          <w:lang w:val="es-ES"/>
        </w:rPr>
        <w:t xml:space="preserve"> contribuirán a la actividad proporcionando a los </w:t>
      </w:r>
      <w:r w:rsidR="00A95DEF">
        <w:rPr>
          <w:lang w:val="es-ES"/>
        </w:rPr>
        <w:t>CMRE</w:t>
      </w:r>
      <w:r>
        <w:rPr>
          <w:lang w:val="es-ES"/>
        </w:rPr>
        <w:t xml:space="preserve"> </w:t>
      </w:r>
      <w:r w:rsidR="00086A91">
        <w:rPr>
          <w:lang w:val="es-ES"/>
        </w:rPr>
        <w:t>datos observacionales</w:t>
      </w:r>
      <w:r>
        <w:rPr>
          <w:lang w:val="es-ES"/>
        </w:rPr>
        <w:t xml:space="preserve"> sobre los ciclones tropicales en tiempo real</w:t>
      </w:r>
      <w:r w:rsidR="008D132C">
        <w:rPr>
          <w:lang w:val="es-ES"/>
        </w:rPr>
        <w:t>,</w:t>
      </w:r>
      <w:r>
        <w:rPr>
          <w:lang w:val="es-ES"/>
        </w:rPr>
        <w:t xml:space="preserve"> y podrían llevar a cabo estudios de caso sobre fenómenos concretos y transmitir esa información a los </w:t>
      </w:r>
      <w:r w:rsidR="00A95DEF">
        <w:rPr>
          <w:lang w:val="es-ES"/>
        </w:rPr>
        <w:t>CMRE</w:t>
      </w:r>
      <w:r>
        <w:rPr>
          <w:lang w:val="es-ES"/>
        </w:rPr>
        <w:t xml:space="preserve">. Emitirán predicciones y avisos a sus comunidades y se coordinarán con los organismos nacionales responsables de </w:t>
      </w:r>
      <w:r w:rsidR="008D132C">
        <w:rPr>
          <w:lang w:val="es-ES"/>
        </w:rPr>
        <w:t xml:space="preserve">reducir </w:t>
      </w:r>
      <w:r>
        <w:rPr>
          <w:lang w:val="es-ES"/>
        </w:rPr>
        <w:t>el riesgo de desastres.</w:t>
      </w:r>
    </w:p>
    <w:p w14:paraId="5C7B5ADC" w14:textId="5A6D5FB5" w:rsidR="003E5D1B" w:rsidRPr="002A03CD" w:rsidRDefault="00E26782">
      <w:pPr>
        <w:spacing w:before="240" w:after="240"/>
        <w:rPr>
          <w:rFonts w:eastAsia="Verdana" w:cs="Verdana"/>
          <w:i/>
          <w:iCs/>
          <w:lang w:val="es-419"/>
        </w:rPr>
      </w:pPr>
      <w:r>
        <w:rPr>
          <w:i/>
          <w:iCs/>
          <w:lang w:val="es-ES"/>
        </w:rPr>
        <w:t>2.3.2.6.2</w:t>
      </w:r>
      <w:r>
        <w:rPr>
          <w:lang w:val="es-ES"/>
        </w:rPr>
        <w:t xml:space="preserve"> </w:t>
      </w:r>
      <w:r w:rsidR="00947A8C" w:rsidRPr="00947A8C">
        <w:rPr>
          <w:i/>
          <w:iCs/>
          <w:lang w:val="es-ES"/>
        </w:rPr>
        <w:t>Esferas de aplicación y servicio que los CMRE podrían respaldar</w:t>
      </w:r>
    </w:p>
    <w:p w14:paraId="03599F43" w14:textId="60371B13" w:rsidR="003E5D1B" w:rsidRPr="008357EA" w:rsidRDefault="00E26782">
      <w:pPr>
        <w:spacing w:before="240" w:after="240"/>
        <w:rPr>
          <w:rFonts w:eastAsia="Verdana" w:cs="Verdana"/>
          <w:lang w:val="es-419"/>
        </w:rPr>
      </w:pPr>
      <w:r>
        <w:rPr>
          <w:lang w:val="es-ES"/>
        </w:rPr>
        <w:t xml:space="preserve">Los productos que ponen a disposición los </w:t>
      </w:r>
      <w:r w:rsidR="00A95DEF">
        <w:rPr>
          <w:lang w:val="es-ES"/>
        </w:rPr>
        <w:t>CMRE</w:t>
      </w:r>
      <w:r>
        <w:rPr>
          <w:lang w:val="es-ES"/>
        </w:rPr>
        <w:t xml:space="preserve"> respaldan muchos tipos de esferas de aplicación y servicio:</w:t>
      </w:r>
    </w:p>
    <w:p w14:paraId="203F920D" w14:textId="77777777" w:rsidR="003E5D1B" w:rsidRPr="008357EA" w:rsidRDefault="00E26782">
      <w:pPr>
        <w:spacing w:before="240" w:after="240"/>
        <w:ind w:left="1134" w:hanging="777"/>
        <w:rPr>
          <w:rFonts w:eastAsia="Verdana" w:cs="Verdana"/>
          <w:lang w:val="es-419"/>
        </w:rPr>
      </w:pPr>
      <w:r>
        <w:rPr>
          <w:lang w:val="es-ES"/>
        </w:rPr>
        <w:t>a)</w:t>
      </w:r>
      <w:r>
        <w:rPr>
          <w:lang w:val="es-ES"/>
        </w:rPr>
        <w:tab/>
        <w:t>servicios públicos de predicción meteorológica;</w:t>
      </w:r>
    </w:p>
    <w:p w14:paraId="41D2C5DA" w14:textId="77777777" w:rsidR="003E5D1B" w:rsidRPr="008357EA" w:rsidRDefault="00E26782">
      <w:pPr>
        <w:spacing w:before="240" w:after="240"/>
        <w:ind w:left="1134" w:hanging="777"/>
        <w:rPr>
          <w:rFonts w:eastAsia="Verdana" w:cs="Verdana"/>
          <w:lang w:val="es-419"/>
        </w:rPr>
      </w:pPr>
      <w:r>
        <w:rPr>
          <w:lang w:val="es-ES"/>
        </w:rPr>
        <w:t>b)</w:t>
      </w:r>
      <w:r>
        <w:rPr>
          <w:lang w:val="es-ES"/>
        </w:rPr>
        <w:tab/>
        <w:t xml:space="preserve">sistemas de alerta temprana de peligros múltiples; </w:t>
      </w:r>
    </w:p>
    <w:p w14:paraId="4DFD20D3" w14:textId="77777777" w:rsidR="003E5D1B" w:rsidRPr="008357EA" w:rsidRDefault="00E26782">
      <w:pPr>
        <w:spacing w:before="240" w:after="240"/>
        <w:ind w:left="1134" w:hanging="777"/>
        <w:rPr>
          <w:rFonts w:eastAsia="Verdana" w:cs="Verdana"/>
          <w:lang w:val="es-419"/>
        </w:rPr>
      </w:pPr>
      <w:r>
        <w:rPr>
          <w:lang w:val="es-ES"/>
        </w:rPr>
        <w:t xml:space="preserve">c) </w:t>
      </w:r>
      <w:r>
        <w:rPr>
          <w:lang w:val="es-ES"/>
        </w:rPr>
        <w:tab/>
        <w:t>servicios de meteorología aeronáutica;</w:t>
      </w:r>
    </w:p>
    <w:p w14:paraId="02E11653" w14:textId="77777777" w:rsidR="003E5D1B" w:rsidRPr="008357EA" w:rsidRDefault="00E26782">
      <w:pPr>
        <w:spacing w:before="240" w:after="240"/>
        <w:ind w:left="1134" w:hanging="777"/>
        <w:rPr>
          <w:rFonts w:eastAsia="Verdana" w:cs="Verdana"/>
          <w:lang w:val="es-419"/>
        </w:rPr>
      </w:pPr>
      <w:r>
        <w:rPr>
          <w:lang w:val="es-ES"/>
        </w:rPr>
        <w:t>d)</w:t>
      </w:r>
      <w:r>
        <w:rPr>
          <w:lang w:val="es-ES"/>
        </w:rPr>
        <w:tab/>
        <w:t>servicios meteorológicos marinos y aplicaciones oceánicas;</w:t>
      </w:r>
    </w:p>
    <w:p w14:paraId="10220F33" w14:textId="77777777" w:rsidR="003E5D1B" w:rsidRPr="008357EA" w:rsidRDefault="00E26782">
      <w:pPr>
        <w:spacing w:before="240" w:after="240"/>
        <w:ind w:left="1134" w:hanging="777"/>
        <w:rPr>
          <w:rFonts w:eastAsia="Verdana" w:cs="Verdana"/>
          <w:lang w:val="es-419"/>
        </w:rPr>
      </w:pPr>
      <w:r>
        <w:rPr>
          <w:lang w:val="es-ES"/>
        </w:rPr>
        <w:t>e)</w:t>
      </w:r>
      <w:r>
        <w:rPr>
          <w:lang w:val="es-ES"/>
        </w:rPr>
        <w:tab/>
        <w:t>servicios de recursos hídricos e hidrológicos, y</w:t>
      </w:r>
    </w:p>
    <w:p w14:paraId="05ADCEFB" w14:textId="77777777" w:rsidR="003E5D1B" w:rsidRPr="008357EA" w:rsidRDefault="00E26782">
      <w:pPr>
        <w:spacing w:before="240" w:after="240"/>
        <w:ind w:left="1134" w:hanging="777"/>
        <w:rPr>
          <w:rFonts w:eastAsia="Verdana" w:cs="Verdana"/>
          <w:lang w:val="es-419"/>
        </w:rPr>
      </w:pPr>
      <w:r>
        <w:rPr>
          <w:lang w:val="es-ES"/>
        </w:rPr>
        <w:lastRenderedPageBreak/>
        <w:t xml:space="preserve">f) </w:t>
      </w:r>
      <w:r>
        <w:rPr>
          <w:lang w:val="es-ES"/>
        </w:rPr>
        <w:tab/>
        <w:t>servicios de agrometeorología.</w:t>
      </w:r>
    </w:p>
    <w:p w14:paraId="77EA272E" w14:textId="05D18D27" w:rsidR="003E5D1B" w:rsidRPr="008357EA" w:rsidRDefault="00E26782">
      <w:pPr>
        <w:spacing w:before="240" w:after="240"/>
        <w:rPr>
          <w:rFonts w:eastAsia="Verdana" w:cs="Verdana"/>
          <w:lang w:val="es-419"/>
        </w:rPr>
      </w:pPr>
      <w:r>
        <w:rPr>
          <w:lang w:val="es-ES"/>
        </w:rPr>
        <w:t xml:space="preserve">Cabe señalar que la Organización de Aviación Civil Internacional (OACI) también designa a los </w:t>
      </w:r>
      <w:r w:rsidR="00A95DEF">
        <w:rPr>
          <w:lang w:val="es-ES"/>
        </w:rPr>
        <w:t>CMRE</w:t>
      </w:r>
      <w:r>
        <w:rPr>
          <w:lang w:val="es-ES"/>
        </w:rPr>
        <w:t xml:space="preserve"> como </w:t>
      </w:r>
      <w:r w:rsidR="00C9444A">
        <w:rPr>
          <w:lang w:val="es-ES"/>
        </w:rPr>
        <w:t>C</w:t>
      </w:r>
      <w:r>
        <w:rPr>
          <w:lang w:val="es-ES"/>
        </w:rPr>
        <w:t xml:space="preserve">entros de </w:t>
      </w:r>
      <w:r w:rsidR="00C9444A">
        <w:rPr>
          <w:lang w:val="es-ES"/>
        </w:rPr>
        <w:t>A</w:t>
      </w:r>
      <w:r>
        <w:rPr>
          <w:lang w:val="es-ES"/>
        </w:rPr>
        <w:t xml:space="preserve">visos de </w:t>
      </w:r>
      <w:r w:rsidR="00C9444A">
        <w:rPr>
          <w:lang w:val="es-ES"/>
        </w:rPr>
        <w:t>C</w:t>
      </w:r>
      <w:r>
        <w:rPr>
          <w:lang w:val="es-ES"/>
        </w:rPr>
        <w:t xml:space="preserve">iclones </w:t>
      </w:r>
      <w:r w:rsidR="00C9444A">
        <w:rPr>
          <w:lang w:val="es-ES"/>
        </w:rPr>
        <w:t>T</w:t>
      </w:r>
      <w:r>
        <w:rPr>
          <w:lang w:val="es-ES"/>
        </w:rPr>
        <w:t>ropicales.</w:t>
      </w:r>
    </w:p>
    <w:p w14:paraId="6CEE1229" w14:textId="64B6DB34" w:rsidR="003E5D1B" w:rsidRPr="008357EA" w:rsidRDefault="00E26782">
      <w:pPr>
        <w:spacing w:before="240" w:after="240"/>
        <w:rPr>
          <w:rFonts w:eastAsia="Verdana" w:cs="Verdana"/>
          <w:i/>
          <w:iCs/>
          <w:lang w:val="es-419"/>
        </w:rPr>
      </w:pPr>
      <w:r>
        <w:rPr>
          <w:i/>
          <w:iCs/>
          <w:lang w:val="es-ES"/>
        </w:rPr>
        <w:t>2.3.2.6.3</w:t>
      </w:r>
      <w:r>
        <w:rPr>
          <w:lang w:val="es-ES"/>
        </w:rPr>
        <w:t xml:space="preserve"> </w:t>
      </w:r>
      <w:r>
        <w:rPr>
          <w:i/>
          <w:iCs/>
          <w:lang w:val="es-ES"/>
        </w:rPr>
        <w:t xml:space="preserve">Recomendaciones sobre la integración de los productos de los </w:t>
      </w:r>
      <w:r w:rsidR="00A95DEF">
        <w:rPr>
          <w:i/>
          <w:iCs/>
          <w:lang w:val="es-ES"/>
        </w:rPr>
        <w:t>CMRE</w:t>
      </w:r>
      <w:r>
        <w:rPr>
          <w:i/>
          <w:iCs/>
          <w:lang w:val="es-ES"/>
        </w:rPr>
        <w:t xml:space="preserve"> en el proceso nacional de predicción</w:t>
      </w:r>
    </w:p>
    <w:p w14:paraId="043B91E1" w14:textId="7D327CB8" w:rsidR="003E5D1B" w:rsidRPr="008357EA" w:rsidRDefault="00E26782">
      <w:pPr>
        <w:spacing w:before="240" w:after="240"/>
        <w:rPr>
          <w:rFonts w:eastAsia="Verdana" w:cs="Verdana"/>
          <w:lang w:val="es-419"/>
        </w:rPr>
      </w:pPr>
      <w:r>
        <w:rPr>
          <w:lang w:val="es-ES"/>
        </w:rPr>
        <w:t xml:space="preserve">En el apéndice 2.3.1 de la presente Guía se describe el procedimiento de predicción recomendado para el período de predicción D+0 a D+3. Los productos de predicción de ciclones tropicales que los </w:t>
      </w:r>
      <w:r w:rsidR="00A95DEF">
        <w:rPr>
          <w:lang w:val="es-ES"/>
        </w:rPr>
        <w:t>CMRE</w:t>
      </w:r>
      <w:r>
        <w:rPr>
          <w:lang w:val="es-ES"/>
        </w:rPr>
        <w:t xml:space="preserve"> elaboran se suelen utilizar en los siguientes pasos de dicho apéndice: </w:t>
      </w:r>
    </w:p>
    <w:p w14:paraId="7C581643" w14:textId="77777777" w:rsidR="003E5D1B" w:rsidRPr="008357EA" w:rsidRDefault="00E26782">
      <w:pPr>
        <w:widowControl w:val="0"/>
        <w:numPr>
          <w:ilvl w:val="0"/>
          <w:numId w:val="41"/>
        </w:numPr>
        <w:tabs>
          <w:tab w:val="clear" w:pos="1134"/>
        </w:tabs>
        <w:spacing w:before="240" w:after="240"/>
        <w:rPr>
          <w:rFonts w:eastAsia="Verdana" w:cs="Verdana"/>
          <w:color w:val="000000" w:themeColor="text1"/>
          <w:lang w:val="es-419"/>
        </w:rPr>
      </w:pPr>
      <w:r>
        <w:rPr>
          <w:lang w:val="es-ES"/>
        </w:rPr>
        <w:t>PASO 3: Predicción actual - Examinar las orientaciones, los textos y los productos existentes.</w:t>
      </w:r>
    </w:p>
    <w:p w14:paraId="5A5B0B03" w14:textId="6176B7BE" w:rsidR="003E5D1B" w:rsidRPr="008357EA" w:rsidRDefault="00E26782">
      <w:pPr>
        <w:widowControl w:val="0"/>
        <w:numPr>
          <w:ilvl w:val="0"/>
          <w:numId w:val="41"/>
        </w:numPr>
        <w:tabs>
          <w:tab w:val="clear" w:pos="1134"/>
        </w:tabs>
        <w:spacing w:before="240" w:after="240"/>
        <w:rPr>
          <w:rFonts w:eastAsia="Verdana" w:cs="Verdana"/>
          <w:color w:val="000000" w:themeColor="text1"/>
          <w:lang w:val="es-419"/>
        </w:rPr>
      </w:pPr>
      <w:r>
        <w:rPr>
          <w:lang w:val="es-ES"/>
        </w:rPr>
        <w:t xml:space="preserve">PASO 8: Predicción - Preparar el texto de la predicción y otros productos </w:t>
      </w:r>
      <w:r w:rsidR="005D102F">
        <w:rPr>
          <w:lang w:val="es-ES"/>
        </w:rPr>
        <w:t>sobre la base del documento de orientaciones descrito anteriormente</w:t>
      </w:r>
      <w:r>
        <w:rPr>
          <w:lang w:val="es-ES"/>
        </w:rPr>
        <w:t>.</w:t>
      </w:r>
    </w:p>
    <w:p w14:paraId="71C269E6" w14:textId="77777777" w:rsidR="003E5D1B" w:rsidRPr="008357EA" w:rsidRDefault="003E5D1B">
      <w:pPr>
        <w:spacing w:before="240" w:after="240"/>
        <w:rPr>
          <w:rFonts w:eastAsia="Verdana" w:cs="Verdana"/>
          <w:i/>
          <w:iCs/>
          <w:lang w:val="es-419"/>
        </w:rPr>
      </w:pPr>
    </w:p>
    <w:p w14:paraId="4A658767" w14:textId="13E76B75" w:rsidR="003E5D1B" w:rsidRPr="008357EA" w:rsidRDefault="00E26782">
      <w:pPr>
        <w:spacing w:before="240" w:after="240"/>
        <w:rPr>
          <w:rFonts w:eastAsia="Verdana" w:cs="Verdana"/>
          <w:lang w:val="es-419"/>
        </w:rPr>
      </w:pPr>
      <w:r>
        <w:rPr>
          <w:lang w:val="es-ES"/>
        </w:rPr>
        <w:t xml:space="preserve">En el apéndice 2.3.2 de la presente Guía se describe el procedimiento de predicción recomendado para el período de predicción D+4 a D+10. Los productos de predicción de ciclones tropicales que los </w:t>
      </w:r>
      <w:r w:rsidR="00A95DEF">
        <w:rPr>
          <w:lang w:val="es-ES"/>
        </w:rPr>
        <w:t>CMRE</w:t>
      </w:r>
      <w:r>
        <w:rPr>
          <w:lang w:val="es-ES"/>
        </w:rPr>
        <w:t xml:space="preserve"> elaboran se suelen utilizar en los siguientes pasos de dicho apéndice: </w:t>
      </w:r>
    </w:p>
    <w:p w14:paraId="34085528" w14:textId="77777777" w:rsidR="003E5D1B" w:rsidRPr="008357EA" w:rsidRDefault="00E26782">
      <w:pPr>
        <w:widowControl w:val="0"/>
        <w:numPr>
          <w:ilvl w:val="0"/>
          <w:numId w:val="42"/>
        </w:numPr>
        <w:tabs>
          <w:tab w:val="clear" w:pos="1134"/>
        </w:tabs>
        <w:spacing w:before="240" w:after="240"/>
        <w:rPr>
          <w:rFonts w:eastAsia="Verdana" w:cs="Verdana"/>
          <w:color w:val="000000" w:themeColor="text1"/>
          <w:lang w:val="es-419"/>
        </w:rPr>
      </w:pPr>
      <w:r>
        <w:rPr>
          <w:lang w:val="es-ES"/>
        </w:rPr>
        <w:t xml:space="preserve">PASO 1: Orientaciones - Examinar las orientaciones ya preparadas relativas al período de predicción D+0 a D+3. </w:t>
      </w:r>
    </w:p>
    <w:p w14:paraId="3EB7B819" w14:textId="40461081" w:rsidR="003E5D1B" w:rsidRPr="008357EA" w:rsidRDefault="00E26782">
      <w:pPr>
        <w:widowControl w:val="0"/>
        <w:numPr>
          <w:ilvl w:val="0"/>
          <w:numId w:val="42"/>
        </w:numPr>
        <w:tabs>
          <w:tab w:val="clear" w:pos="1134"/>
        </w:tabs>
        <w:spacing w:before="240" w:after="240"/>
        <w:rPr>
          <w:rFonts w:eastAsia="Verdana" w:cs="Verdana"/>
          <w:color w:val="000000" w:themeColor="text1"/>
          <w:lang w:val="es-419"/>
        </w:rPr>
      </w:pPr>
      <w:r>
        <w:rPr>
          <w:lang w:val="es-ES"/>
        </w:rPr>
        <w:t xml:space="preserve">PASO 1b: Examinar las orientaciones formuladas por los </w:t>
      </w:r>
      <w:r w:rsidR="00A95DEF">
        <w:rPr>
          <w:lang w:val="es-ES"/>
        </w:rPr>
        <w:t>CMRE</w:t>
      </w:r>
      <w:r>
        <w:rPr>
          <w:lang w:val="es-ES"/>
        </w:rPr>
        <w:t xml:space="preserve"> (perspectiva del tiempo en los trópicos, predicción semanal y otras).</w:t>
      </w:r>
    </w:p>
    <w:p w14:paraId="291E6562" w14:textId="77777777" w:rsidR="003E5D1B" w:rsidRPr="008357EA" w:rsidRDefault="003E5D1B">
      <w:pPr>
        <w:spacing w:before="240" w:after="240"/>
        <w:rPr>
          <w:rFonts w:eastAsia="Verdana" w:cs="Verdana"/>
          <w:i/>
          <w:iCs/>
          <w:lang w:val="es-419"/>
        </w:rPr>
      </w:pPr>
    </w:p>
    <w:p w14:paraId="0E243353" w14:textId="786AC928" w:rsidR="003E5D1B" w:rsidRPr="008357EA" w:rsidRDefault="00E26782">
      <w:pPr>
        <w:spacing w:before="240" w:after="240"/>
        <w:rPr>
          <w:rFonts w:eastAsia="Verdana" w:cs="Verdana"/>
          <w:i/>
          <w:iCs/>
          <w:lang w:val="es-419"/>
        </w:rPr>
      </w:pPr>
      <w:r>
        <w:rPr>
          <w:i/>
          <w:iCs/>
          <w:lang w:val="es-ES"/>
        </w:rPr>
        <w:t>2.3.2.6.4</w:t>
      </w:r>
      <w:r>
        <w:rPr>
          <w:lang w:val="es-ES"/>
        </w:rPr>
        <w:t xml:space="preserve"> </w:t>
      </w:r>
      <w:r w:rsidR="00947A8C" w:rsidRPr="00947A8C">
        <w:rPr>
          <w:i/>
          <w:iCs/>
          <w:lang w:val="es-ES"/>
        </w:rPr>
        <w:t>Mecanismo de retroinformación sobre la utilidad y exactitud de los productos</w:t>
      </w:r>
    </w:p>
    <w:p w14:paraId="1DD1BF03" w14:textId="69DF34FE" w:rsidR="003E5D1B" w:rsidRPr="008357EA" w:rsidRDefault="00E26782">
      <w:pPr>
        <w:tabs>
          <w:tab w:val="clear" w:pos="1134"/>
        </w:tabs>
        <w:spacing w:before="240" w:after="240"/>
        <w:rPr>
          <w:rFonts w:eastAsia="Verdana" w:cstheme="minorBidi"/>
          <w:b/>
          <w:bCs/>
          <w:i/>
          <w:iCs/>
          <w:lang w:val="es-419"/>
        </w:rPr>
      </w:pPr>
      <w:bookmarkStart w:id="166" w:name="_Toc113003329"/>
      <w:bookmarkStart w:id="167" w:name="_Toc113024454"/>
      <w:r>
        <w:rPr>
          <w:lang w:val="es-ES"/>
        </w:rPr>
        <w:t xml:space="preserve">Se anima a los </w:t>
      </w:r>
      <w:r w:rsidR="006753E1">
        <w:rPr>
          <w:lang w:val="es-ES"/>
        </w:rPr>
        <w:t>CMN</w:t>
      </w:r>
      <w:r>
        <w:rPr>
          <w:lang w:val="es-ES"/>
        </w:rPr>
        <w:t xml:space="preserve"> a aplicar los procedimientos de verificación acordados para verificar los productos de predicción de ciclones tropicales </w:t>
      </w:r>
      <w:r w:rsidR="005D102F">
        <w:rPr>
          <w:lang w:val="es-ES"/>
        </w:rPr>
        <w:t>elaborados</w:t>
      </w:r>
      <w:r>
        <w:rPr>
          <w:lang w:val="es-ES"/>
        </w:rPr>
        <w:t xml:space="preserve"> por el </w:t>
      </w:r>
      <w:r w:rsidR="00A95DEF">
        <w:rPr>
          <w:lang w:val="es-ES"/>
        </w:rPr>
        <w:t>CMRE</w:t>
      </w:r>
      <w:r>
        <w:rPr>
          <w:lang w:val="es-ES"/>
        </w:rPr>
        <w:t xml:space="preserve"> pertinente que </w:t>
      </w:r>
      <w:r w:rsidR="005D102F">
        <w:rPr>
          <w:lang w:val="es-ES"/>
        </w:rPr>
        <w:t>se ocupa de</w:t>
      </w:r>
      <w:r>
        <w:rPr>
          <w:lang w:val="es-ES"/>
        </w:rPr>
        <w:t xml:space="preserve"> </w:t>
      </w:r>
      <w:r w:rsidR="005D102F">
        <w:rPr>
          <w:lang w:val="es-ES"/>
        </w:rPr>
        <w:t xml:space="preserve">ese tipo de </w:t>
      </w:r>
      <w:r>
        <w:rPr>
          <w:lang w:val="es-ES"/>
        </w:rPr>
        <w:t xml:space="preserve">predicciones, y a poner los resultados de la verificación a disposición del centro que los </w:t>
      </w:r>
      <w:r w:rsidR="00261A89">
        <w:rPr>
          <w:lang w:val="es-ES"/>
        </w:rPr>
        <w:t>elaboró</w:t>
      </w:r>
      <w:r>
        <w:rPr>
          <w:lang w:val="es-ES"/>
        </w:rPr>
        <w:t>.</w:t>
      </w:r>
      <w:bookmarkEnd w:id="166"/>
      <w:bookmarkEnd w:id="167"/>
    </w:p>
    <w:p w14:paraId="129990FD" w14:textId="71F2B38B" w:rsidR="003E5D1B" w:rsidRPr="008357EA" w:rsidRDefault="00E26782">
      <w:pPr>
        <w:keepNext/>
        <w:tabs>
          <w:tab w:val="clear" w:pos="1134"/>
        </w:tabs>
        <w:spacing w:before="240" w:after="240"/>
        <w:outlineLvl w:val="5"/>
        <w:rPr>
          <w:rFonts w:eastAsia="SimSun" w:cs="Times New Roman"/>
          <w:b/>
          <w:bCs/>
          <w:color w:val="000000" w:themeColor="text1"/>
          <w:lang w:val="es-419"/>
        </w:rPr>
      </w:pPr>
      <w:bookmarkStart w:id="168" w:name="_Toc113003330"/>
      <w:bookmarkStart w:id="169" w:name="_Toc113024455"/>
      <w:bookmarkStart w:id="170" w:name="_Toc117501986"/>
      <w:r>
        <w:rPr>
          <w:b/>
          <w:bCs/>
          <w:lang w:val="es-ES"/>
        </w:rPr>
        <w:t>2.3.2.7</w:t>
      </w:r>
      <w:r>
        <w:rPr>
          <w:lang w:val="es-ES"/>
        </w:rPr>
        <w:t xml:space="preserve"> </w:t>
      </w:r>
      <w:r w:rsidRPr="007C148B">
        <w:rPr>
          <w:b/>
          <w:bCs/>
          <w:lang w:val="es-ES"/>
        </w:rPr>
        <w:t xml:space="preserve">Respuesta en casos de emergencia medioambiental por accidente nuclear </w:t>
      </w:r>
      <w:bookmarkEnd w:id="168"/>
      <w:bookmarkEnd w:id="169"/>
      <w:bookmarkEnd w:id="170"/>
    </w:p>
    <w:p w14:paraId="285BE48C" w14:textId="5FC04247" w:rsidR="003E5D1B" w:rsidRPr="008357EA" w:rsidRDefault="00E26782">
      <w:pPr>
        <w:spacing w:before="240" w:after="240"/>
        <w:rPr>
          <w:rFonts w:eastAsiaTheme="minorEastAsia" w:cstheme="majorBidi"/>
          <w:i/>
          <w:iCs/>
          <w:color w:val="000000" w:themeColor="text1"/>
          <w:lang w:val="es-419"/>
        </w:rPr>
      </w:pPr>
      <w:r>
        <w:rPr>
          <w:i/>
          <w:iCs/>
          <w:lang w:val="es-ES"/>
        </w:rPr>
        <w:t>2.3.2.7.1</w:t>
      </w:r>
      <w:r>
        <w:rPr>
          <w:lang w:val="es-ES"/>
        </w:rPr>
        <w:t xml:space="preserve"> </w:t>
      </w:r>
      <w:r w:rsidR="00947A8C" w:rsidRPr="00947A8C">
        <w:rPr>
          <w:i/>
          <w:iCs/>
          <w:lang w:val="es-ES"/>
        </w:rPr>
        <w:t>Resumen general de la actividad de los CMRE</w:t>
      </w:r>
      <w:r w:rsidR="00947A8C">
        <w:rPr>
          <w:lang w:val="es-ES"/>
        </w:rPr>
        <w:t xml:space="preserve"> </w:t>
      </w:r>
    </w:p>
    <w:p w14:paraId="685B8FE5" w14:textId="77777777" w:rsidR="003E5D1B" w:rsidRPr="008357EA" w:rsidRDefault="00E26782">
      <w:pPr>
        <w:spacing w:before="240" w:after="240"/>
        <w:rPr>
          <w:rFonts w:eastAsiaTheme="minorEastAsia" w:cstheme="majorBidi"/>
          <w:color w:val="000000" w:themeColor="text1"/>
          <w:lang w:val="es-419"/>
        </w:rPr>
      </w:pPr>
      <w:r>
        <w:rPr>
          <w:lang w:val="es-ES"/>
        </w:rPr>
        <w:t>En los últimos decenios ha habido avances significativos en el campo de la modelización del transporte y la dispersión atmosféricos gracias a que han mejorado la asimilación de datos y las capacidades de predicción meteorológica. Esos avances permiten predecir mejor cómo se dispersará el material nuclear que se libera a la atmósfera tras un incidente o accidente radiológico, y facilitan la detección de regiones donde se puede haber originado el material nuclear que se detecta en los emplazamientos de vigilancia. El aumento de las capacidades de análisis y predicción, así como de la resolución horizontal, vertical y temporal de los modelos, mejora la aplicabilidad y la utilidad de los resultados para diversas partes interesadas en los ámbitos de la respuesta en casos de emergencia medioambiental por accidente nuclear y de la verificación del Tratado de Prohibición Completa de los Ensayos Nucleares (TPCE).</w:t>
      </w:r>
    </w:p>
    <w:p w14:paraId="1BAC3782" w14:textId="0E8C0D6E" w:rsidR="003E5D1B" w:rsidRPr="008357EA" w:rsidRDefault="00E26782">
      <w:pPr>
        <w:spacing w:before="240" w:after="240"/>
        <w:rPr>
          <w:rFonts w:eastAsiaTheme="minorEastAsia" w:cstheme="majorBidi"/>
          <w:color w:val="000000" w:themeColor="text1"/>
          <w:lang w:val="es-419"/>
        </w:rPr>
      </w:pPr>
      <w:r>
        <w:rPr>
          <w:lang w:val="es-ES"/>
        </w:rPr>
        <w:t xml:space="preserve">Los </w:t>
      </w:r>
      <w:r w:rsidR="00A95DEF">
        <w:rPr>
          <w:lang w:val="es-ES"/>
        </w:rPr>
        <w:t>CMRE</w:t>
      </w:r>
      <w:r>
        <w:rPr>
          <w:lang w:val="es-ES"/>
        </w:rPr>
        <w:t xml:space="preserve"> que se especializan en la respuesta en casos de emergencia medioambiental por accidente nuclear se encargan de lo siguiente: </w:t>
      </w:r>
    </w:p>
    <w:p w14:paraId="38DA3E9C" w14:textId="77777777" w:rsidR="003E5D1B" w:rsidRPr="008357EA" w:rsidRDefault="00E26782">
      <w:pPr>
        <w:numPr>
          <w:ilvl w:val="0"/>
          <w:numId w:val="31"/>
        </w:numPr>
        <w:spacing w:before="240" w:after="240"/>
        <w:rPr>
          <w:rFonts w:eastAsiaTheme="minorEastAsia" w:cstheme="majorBidi"/>
          <w:color w:val="000000" w:themeColor="text1"/>
          <w:lang w:val="es-419"/>
        </w:rPr>
      </w:pPr>
      <w:r>
        <w:rPr>
          <w:lang w:val="es-ES"/>
        </w:rPr>
        <w:lastRenderedPageBreak/>
        <w:t>Prestar apoyo a los Miembros de la OMM y al Organismo Internacional de Energía Atómica (OIEA) tras un incidente o accidente nuclear, procesando y poniendo a disposición una serie de productos de modelización del transporte y la dispersión atmosféricos que describan la dispersión y el depósito de material nuclear, sobre la base de la información existente sobre el origen o de un escenario estándar prestablecido.</w:t>
      </w:r>
    </w:p>
    <w:p w14:paraId="27A0ABFB" w14:textId="03BDE78D" w:rsidR="003E5D1B" w:rsidRPr="008357EA" w:rsidRDefault="00E26782">
      <w:pPr>
        <w:numPr>
          <w:ilvl w:val="0"/>
          <w:numId w:val="31"/>
        </w:numPr>
        <w:spacing w:before="240" w:after="240"/>
        <w:rPr>
          <w:rFonts w:eastAsiaTheme="minorEastAsia" w:cstheme="majorBidi"/>
          <w:color w:val="000000" w:themeColor="text1"/>
          <w:lang w:val="es-419"/>
        </w:rPr>
      </w:pPr>
      <w:r>
        <w:rPr>
          <w:lang w:val="es-ES"/>
        </w:rPr>
        <w:t xml:space="preserve">Prestar apoyo a la Organización del Tratado de Prohibición Completa de los Ensayos Nucleares (OTPCE) calculando y poniendo a disposición los productos pertinentes de modelización de la atmósfera </w:t>
      </w:r>
      <w:r w:rsidR="00EB66F7">
        <w:rPr>
          <w:lang w:val="es-ES"/>
        </w:rPr>
        <w:t xml:space="preserve">mediante predicción retrospectiva </w:t>
      </w:r>
      <w:r>
        <w:rPr>
          <w:lang w:val="es-ES"/>
        </w:rPr>
        <w:t>correspondientes al conjunto de lugares y momentos que la OTPCE indique.</w:t>
      </w:r>
    </w:p>
    <w:p w14:paraId="59F296B2" w14:textId="7B4CBB17" w:rsidR="003E5D1B" w:rsidRPr="008357EA" w:rsidRDefault="00E26782">
      <w:pPr>
        <w:spacing w:before="240" w:after="240"/>
        <w:rPr>
          <w:rFonts w:eastAsiaTheme="minorEastAsia" w:cstheme="majorBidi"/>
          <w:color w:val="000000" w:themeColor="text1"/>
          <w:lang w:val="es-419"/>
        </w:rPr>
      </w:pPr>
      <w:r>
        <w:rPr>
          <w:lang w:val="es-ES"/>
        </w:rPr>
        <w:t xml:space="preserve">Los </w:t>
      </w:r>
      <w:r w:rsidR="00A95DEF">
        <w:rPr>
          <w:lang w:val="es-ES"/>
        </w:rPr>
        <w:t>CMRE</w:t>
      </w:r>
      <w:r>
        <w:rPr>
          <w:lang w:val="es-ES"/>
        </w:rPr>
        <w:t xml:space="preserve"> facilitarán información actualizada sobre las características de su sistema de modelización del transporte y la dispersión atmosféricos y sobre los datos que </w:t>
      </w:r>
      <w:r w:rsidR="00CF5978">
        <w:rPr>
          <w:lang w:val="es-ES"/>
        </w:rPr>
        <w:t>utilizaron como insumo</w:t>
      </w:r>
      <w:r>
        <w:rPr>
          <w:lang w:val="es-ES"/>
        </w:rPr>
        <w:t>.</w:t>
      </w:r>
    </w:p>
    <w:p w14:paraId="4A8C14B0" w14:textId="74CE4D45" w:rsidR="003E5D1B" w:rsidRPr="008357EA" w:rsidRDefault="00E26782">
      <w:pPr>
        <w:spacing w:before="240" w:after="240"/>
        <w:rPr>
          <w:rFonts w:eastAsiaTheme="minorEastAsia" w:cstheme="majorBidi"/>
          <w:color w:val="000000" w:themeColor="text1"/>
          <w:lang w:val="es-419"/>
        </w:rPr>
      </w:pPr>
      <w:r>
        <w:rPr>
          <w:lang w:val="es-ES"/>
        </w:rPr>
        <w:t xml:space="preserve">El apoyo que los </w:t>
      </w:r>
      <w:r w:rsidR="00A95DEF">
        <w:rPr>
          <w:lang w:val="es-ES"/>
        </w:rPr>
        <w:t>CMRE</w:t>
      </w:r>
      <w:r>
        <w:rPr>
          <w:lang w:val="es-ES"/>
        </w:rPr>
        <w:t xml:space="preserve"> prestan tras un accidente nuclear se crea de conformidad con el Plan Conjunto de las Organizaciones Internacionales para la Gestión de Emergencias Radiológicas auspiciado por el Comité Interinstitucional sobre Emergencias Radiológicas y Nucleares. La Convención sobre la Pronta Notificación de Accidentes Nucleares y la Convención sobre Asistencia en Caso de Accidente Nuclear o Emergencia Radiológica, ambas aprobadas en 1986 tras el accidente nuclear de Ch</w:t>
      </w:r>
      <w:r w:rsidR="00CF5978">
        <w:rPr>
          <w:lang w:val="es-ES"/>
        </w:rPr>
        <w:t>e</w:t>
      </w:r>
      <w:r>
        <w:rPr>
          <w:lang w:val="es-ES"/>
        </w:rPr>
        <w:t>rnób</w:t>
      </w:r>
      <w:r w:rsidR="00B40CB7">
        <w:rPr>
          <w:lang w:val="es-ES"/>
        </w:rPr>
        <w:t>i</w:t>
      </w:r>
      <w:r>
        <w:rPr>
          <w:lang w:val="es-ES"/>
        </w:rPr>
        <w:t xml:space="preserve">l, son los principales instrumentos jurídicos que establecen el marco por el que se rige la cooperación entre el OIEA, la OMM y sus </w:t>
      </w:r>
      <w:r w:rsidR="00A95DEF">
        <w:rPr>
          <w:lang w:val="es-ES"/>
        </w:rPr>
        <w:t>CMRE</w:t>
      </w:r>
      <w:r>
        <w:rPr>
          <w:lang w:val="es-ES"/>
        </w:rPr>
        <w:t>, así como otras organizaciones internacionales.</w:t>
      </w:r>
    </w:p>
    <w:p w14:paraId="7B027E99" w14:textId="7B3E4C70" w:rsidR="003E5D1B" w:rsidRPr="0090391B" w:rsidRDefault="00E26782">
      <w:pPr>
        <w:spacing w:before="240" w:after="240"/>
        <w:rPr>
          <w:rFonts w:eastAsia="Calibri" w:cs="Times New Roman"/>
          <w:i/>
          <w:iCs/>
          <w:lang w:val="es-419"/>
        </w:rPr>
      </w:pPr>
      <w:r>
        <w:rPr>
          <w:lang w:val="es-ES"/>
        </w:rPr>
        <w:t xml:space="preserve">i) </w:t>
      </w:r>
      <w:r w:rsidR="00947A8C" w:rsidRPr="00947A8C">
        <w:rPr>
          <w:i/>
          <w:iCs/>
          <w:lang w:val="es-ES"/>
        </w:rPr>
        <w:t>Centros designados y modalidad de trabajo</w:t>
      </w:r>
    </w:p>
    <w:p w14:paraId="29BFAB8B" w14:textId="1A5B31D0" w:rsidR="003E5D1B" w:rsidRPr="008357EA" w:rsidRDefault="00E26782">
      <w:pPr>
        <w:spacing w:before="240" w:after="240"/>
        <w:rPr>
          <w:rFonts w:eastAsia="Verdana" w:cs="Verdana"/>
          <w:b/>
          <w:bCs/>
          <w:i/>
          <w:iCs/>
          <w:color w:val="000000" w:themeColor="text1"/>
          <w:lang w:val="es-419"/>
        </w:rPr>
      </w:pPr>
      <w:r>
        <w:rPr>
          <w:lang w:val="es-ES"/>
        </w:rPr>
        <w:t xml:space="preserve">La lista de los </w:t>
      </w:r>
      <w:r w:rsidR="00A95DEF">
        <w:rPr>
          <w:lang w:val="es-ES"/>
        </w:rPr>
        <w:t>CMRE</w:t>
      </w:r>
      <w:r>
        <w:rPr>
          <w:lang w:val="es-ES"/>
        </w:rPr>
        <w:t xml:space="preserve"> designados para la respuesta en casos de emergencia medioambiental por accidente nuclear figura en la parte III del </w:t>
      </w:r>
      <w:r w:rsidR="00B36420" w:rsidRPr="00B36420">
        <w:rPr>
          <w:i/>
          <w:iCs/>
          <w:lang w:val="es-ES"/>
        </w:rPr>
        <w:t>Manual del GDPFS</w:t>
      </w:r>
      <w:r>
        <w:rPr>
          <w:lang w:val="es-ES"/>
        </w:rPr>
        <w:t xml:space="preserve">. </w:t>
      </w:r>
    </w:p>
    <w:p w14:paraId="3924C5FE" w14:textId="469AF5CB" w:rsidR="003E5D1B" w:rsidRPr="008357EA" w:rsidRDefault="00E26782">
      <w:pPr>
        <w:spacing w:before="240" w:after="240"/>
        <w:rPr>
          <w:rFonts w:eastAsia="Calibri" w:cs="Times New Roman"/>
          <w:lang w:val="es-419"/>
        </w:rPr>
      </w:pPr>
      <w:r>
        <w:rPr>
          <w:lang w:val="es-ES"/>
        </w:rPr>
        <w:t xml:space="preserve">En cuanto al apoyo que se presta al OIEA y a las autoridades nacionales delegadas tras un accidente nuclear, los </w:t>
      </w:r>
      <w:r w:rsidR="00A95DEF">
        <w:rPr>
          <w:lang w:val="es-ES"/>
        </w:rPr>
        <w:t>CMRE</w:t>
      </w:r>
      <w:r>
        <w:rPr>
          <w:lang w:val="es-ES"/>
        </w:rPr>
        <w:t xml:space="preserve"> ponen a disposición productos correspondientes a la región o regiones de las que son responsables, y uno de esos centros se desempeña como el principal. </w:t>
      </w:r>
    </w:p>
    <w:p w14:paraId="52CC7A96" w14:textId="5A42024F" w:rsidR="003E5D1B" w:rsidRPr="008357EA" w:rsidRDefault="00E26782">
      <w:pPr>
        <w:spacing w:before="240" w:after="240"/>
        <w:rPr>
          <w:rFonts w:eastAsia="Calibri" w:cs="Times New Roman"/>
          <w:lang w:val="es-419"/>
        </w:rPr>
      </w:pPr>
      <w:r>
        <w:rPr>
          <w:lang w:val="es-ES"/>
        </w:rPr>
        <w:t xml:space="preserve">En cuanto a los cálculos de </w:t>
      </w:r>
      <w:r w:rsidR="00EB66F7">
        <w:rPr>
          <w:lang w:val="es-ES"/>
        </w:rPr>
        <w:t>modelización del transporte y la dispersión atmosféricos mediante predicción retrospectiva</w:t>
      </w:r>
      <w:r>
        <w:rPr>
          <w:lang w:val="es-ES"/>
        </w:rPr>
        <w:t xml:space="preserve"> destinados a la OTPCE, todos los </w:t>
      </w:r>
      <w:r w:rsidR="00A95DEF">
        <w:rPr>
          <w:lang w:val="es-ES"/>
        </w:rPr>
        <w:t>CMRE</w:t>
      </w:r>
      <w:r>
        <w:rPr>
          <w:lang w:val="es-ES"/>
        </w:rPr>
        <w:t xml:space="preserve"> designados facilitan sus resultados previa solicitud. Esto permite a la OTPCE obtener un conjunto de resultados e indicar un intervalo de incertidumbre en relación con las posteriores evaluaciones de los lugares de origen.</w:t>
      </w:r>
    </w:p>
    <w:p w14:paraId="0987BA1E" w14:textId="60D83A6D" w:rsidR="003E5D1B" w:rsidRPr="008357EA" w:rsidRDefault="00E26782">
      <w:pPr>
        <w:spacing w:before="240" w:after="240"/>
        <w:rPr>
          <w:rFonts w:eastAsiaTheme="minorEastAsia" w:cstheme="majorBidi"/>
          <w:lang w:val="es-419"/>
        </w:rPr>
      </w:pPr>
      <w:r>
        <w:rPr>
          <w:lang w:val="es-ES"/>
        </w:rPr>
        <w:t xml:space="preserve">En el Plan Conjunto de las Organizaciones Internacionales para la Gestión de Emergencias Radiológicas se describe un mecanismo de coordinación entre las organizaciones internacionales, incluida la OMM y sus </w:t>
      </w:r>
      <w:r w:rsidR="00A95DEF">
        <w:rPr>
          <w:lang w:val="es-ES"/>
        </w:rPr>
        <w:t>CMRE</w:t>
      </w:r>
      <w:r>
        <w:rPr>
          <w:lang w:val="es-ES"/>
        </w:rPr>
        <w:t>, para dar respuesta a las emergencias medioambientales nucleares. En caso de incidentes y accidentes nucleares, el OIEA emite mensajes de notificación utilizando la distribución por correo electrónico y por fax, así como su sitio web seguro Sistema Unificado de Intercambio de Información sobre Incidentes y Emergencias</w:t>
      </w:r>
      <w:r w:rsidR="00FE16ED">
        <w:rPr>
          <w:lang w:val="es-ES"/>
        </w:rPr>
        <w:t xml:space="preserve"> (USIE)</w:t>
      </w:r>
      <w:r>
        <w:rPr>
          <w:lang w:val="es-ES"/>
        </w:rPr>
        <w:t xml:space="preserve">. Al recibir los mensajes, la OMM activa dos funciones de forma simultánea: 1) el Centro Regional de Telecomunicaciones (CRT) de la OMM en Offenbach envía los mensajes pertinentes a través del </w:t>
      </w:r>
      <w:r w:rsidR="001C5219">
        <w:rPr>
          <w:lang w:val="es-ES"/>
        </w:rPr>
        <w:t>WIS</w:t>
      </w:r>
      <w:r>
        <w:rPr>
          <w:lang w:val="es-ES"/>
        </w:rPr>
        <w:t xml:space="preserve">, utilizando el encabezamiento abreviado de los boletines para distribución mundial WNXX01, y 2) los </w:t>
      </w:r>
      <w:r w:rsidR="00A95DEF">
        <w:rPr>
          <w:lang w:val="es-ES"/>
        </w:rPr>
        <w:t>CMRE</w:t>
      </w:r>
      <w:r>
        <w:rPr>
          <w:lang w:val="es-ES"/>
        </w:rPr>
        <w:t xml:space="preserve"> que se especializan en la respuesta en casos de emergencia medioambiental por accidente nuclear ejecutan modelos atmosféricos sofisticados para proporcionar información sobre el transporte, la dispersión y el depósito atmosféricos de radiactividad transmitida por el aire. Los productos de predicción y las declaraciones conjuntas elaborados por los </w:t>
      </w:r>
      <w:r w:rsidR="00A95DEF">
        <w:rPr>
          <w:lang w:val="es-ES"/>
        </w:rPr>
        <w:t>CMRE</w:t>
      </w:r>
      <w:r>
        <w:rPr>
          <w:lang w:val="es-ES"/>
        </w:rPr>
        <w:t xml:space="preserve"> de conformidad con su región de la OMM se ponen a disposición en los sitios web especializados de esos centros (sitios que se duplican por si alguna página web se rompe) y se envían al Sistema Unificado de Intercambio de Información sobre Incidentes y Emergencias.</w:t>
      </w:r>
    </w:p>
    <w:p w14:paraId="36FBBA69" w14:textId="77777777" w:rsidR="003E5D1B" w:rsidRPr="008357EA" w:rsidRDefault="00E26782">
      <w:pPr>
        <w:spacing w:before="240" w:after="240"/>
        <w:rPr>
          <w:rFonts w:eastAsiaTheme="minorEastAsia" w:cstheme="majorBidi"/>
          <w:lang w:val="es-419"/>
        </w:rPr>
      </w:pPr>
      <w:r>
        <w:rPr>
          <w:lang w:val="es-ES"/>
        </w:rPr>
        <w:lastRenderedPageBreak/>
        <w:t>La Secretaría de la OMM tiene la responsabilidad de coordinar la participación y la contribución generales de la OMM en el sistema operativo de respuesta de emergencia; las oficinas de la Organización suelen estar abiertas durante el horario de oficina habitual en Ginebra, Suiza.</w:t>
      </w:r>
    </w:p>
    <w:p w14:paraId="722B19BF" w14:textId="006B5899" w:rsidR="003E5D1B" w:rsidRPr="008357EA" w:rsidRDefault="00E26782">
      <w:pPr>
        <w:spacing w:before="240" w:after="240"/>
        <w:rPr>
          <w:rFonts w:eastAsia="Calibri" w:cs="Times New Roman"/>
          <w:i/>
          <w:iCs/>
          <w:lang w:val="es-419"/>
        </w:rPr>
      </w:pPr>
      <w:r>
        <w:rPr>
          <w:lang w:val="es-ES"/>
        </w:rPr>
        <w:t xml:space="preserve">ii) </w:t>
      </w:r>
      <w:r w:rsidR="00947A8C" w:rsidRPr="00947A8C">
        <w:rPr>
          <w:i/>
          <w:iCs/>
          <w:lang w:val="es-ES"/>
        </w:rPr>
        <w:t>Qué beneficios pueden obtener los CMN de los CMRE y cómo pueden contribuir con ellos</w:t>
      </w:r>
      <w:r>
        <w:rPr>
          <w:lang w:val="es-ES"/>
        </w:rPr>
        <w:t xml:space="preserve"> </w:t>
      </w:r>
    </w:p>
    <w:p w14:paraId="7A8798CA" w14:textId="142758F1" w:rsidR="003E5D1B" w:rsidRPr="008357EA" w:rsidRDefault="00E26782">
      <w:pPr>
        <w:spacing w:before="240" w:after="240"/>
        <w:rPr>
          <w:rFonts w:eastAsia="Calibri" w:cs="Times New Roman"/>
          <w:lang w:val="es-419"/>
        </w:rPr>
      </w:pPr>
      <w:r>
        <w:rPr>
          <w:lang w:val="es-ES"/>
        </w:rPr>
        <w:t xml:space="preserve">Durante un accidente nuclear, los </w:t>
      </w:r>
      <w:r w:rsidR="006753E1">
        <w:rPr>
          <w:lang w:val="es-ES"/>
        </w:rPr>
        <w:t>CMN</w:t>
      </w:r>
      <w:r>
        <w:rPr>
          <w:lang w:val="es-ES"/>
        </w:rPr>
        <w:t xml:space="preserve"> tienen acceso a los resultados de</w:t>
      </w:r>
      <w:r w:rsidR="006350C4">
        <w:rPr>
          <w:lang w:val="es-ES"/>
        </w:rPr>
        <w:t xml:space="preserve"> los</w:t>
      </w:r>
      <w:r>
        <w:rPr>
          <w:lang w:val="es-ES"/>
        </w:rPr>
        <w:t xml:space="preserve"> </w:t>
      </w:r>
      <w:r w:rsidR="00A95DEF">
        <w:rPr>
          <w:lang w:val="es-ES"/>
        </w:rPr>
        <w:t>CMRE</w:t>
      </w:r>
      <w:r>
        <w:rPr>
          <w:lang w:val="es-ES"/>
        </w:rPr>
        <w:t xml:space="preserve"> a través de los sitios web especializados de los </w:t>
      </w:r>
      <w:r w:rsidR="00A95DEF">
        <w:rPr>
          <w:lang w:val="es-ES"/>
        </w:rPr>
        <w:t>CMRE</w:t>
      </w:r>
      <w:r>
        <w:rPr>
          <w:lang w:val="es-ES"/>
        </w:rPr>
        <w:t xml:space="preserve"> y de los demás medios indicados, a saber, el correo electrónico o el fax. Los CMN pueden utilizar esos productos para </w:t>
      </w:r>
      <w:r w:rsidR="006350C4">
        <w:rPr>
          <w:lang w:val="es-ES"/>
        </w:rPr>
        <w:t>respaldar</w:t>
      </w:r>
      <w:r>
        <w:rPr>
          <w:lang w:val="es-ES"/>
        </w:rPr>
        <w:t xml:space="preserve"> su propia evaluación y sus propios productos, y para comparar los resultados de</w:t>
      </w:r>
      <w:r w:rsidR="006350C4">
        <w:rPr>
          <w:lang w:val="es-ES"/>
        </w:rPr>
        <w:t xml:space="preserve"> los</w:t>
      </w:r>
      <w:r>
        <w:rPr>
          <w:lang w:val="es-ES"/>
        </w:rPr>
        <w:t xml:space="preserve"> </w:t>
      </w:r>
      <w:r w:rsidR="00A95DEF">
        <w:rPr>
          <w:lang w:val="es-ES"/>
        </w:rPr>
        <w:t>CMRE</w:t>
      </w:r>
      <w:r>
        <w:rPr>
          <w:lang w:val="es-ES"/>
        </w:rPr>
        <w:t xml:space="preserve"> con sus propias simulaciones de modelización del transporte y la dispersión atmosféricos. Los CMN también pueden utilizar </w:t>
      </w:r>
      <w:r w:rsidR="006350C4">
        <w:rPr>
          <w:lang w:val="es-ES"/>
        </w:rPr>
        <w:t>los</w:t>
      </w:r>
      <w:r>
        <w:rPr>
          <w:lang w:val="es-ES"/>
        </w:rPr>
        <w:t xml:space="preserve"> productos para asesorar a sus respectivos Gobiernos, junto con los datos meteorológicos e hidrológicos disponibles a escala local que sean pertinentes para la emergencia ambiental, y de conformidad con la normativa nacional aplicable. </w:t>
      </w:r>
    </w:p>
    <w:p w14:paraId="3EFD6682" w14:textId="152E213B" w:rsidR="003E5D1B" w:rsidRPr="008357EA" w:rsidRDefault="00E26782">
      <w:pPr>
        <w:spacing w:before="240" w:after="240"/>
        <w:rPr>
          <w:rFonts w:eastAsia="Verdana" w:cs="Verdana"/>
          <w:lang w:val="es-419"/>
        </w:rPr>
      </w:pPr>
      <w:r>
        <w:rPr>
          <w:lang w:val="es-ES"/>
        </w:rPr>
        <w:t xml:space="preserve">Los </w:t>
      </w:r>
      <w:r w:rsidR="006753E1">
        <w:rPr>
          <w:lang w:val="es-ES"/>
        </w:rPr>
        <w:t>CMN</w:t>
      </w:r>
      <w:r>
        <w:rPr>
          <w:lang w:val="es-ES"/>
        </w:rPr>
        <w:t xml:space="preserve"> pueden contribuir a la actividad de los </w:t>
      </w:r>
      <w:r w:rsidR="00A95DEF">
        <w:rPr>
          <w:lang w:val="es-ES"/>
        </w:rPr>
        <w:t>CMRE</w:t>
      </w:r>
      <w:r>
        <w:rPr>
          <w:lang w:val="es-ES"/>
        </w:rPr>
        <w:t xml:space="preserve"> de las siguientes maneras (enumeración no taxativa): 1) comparando sus propias simulaciones de modelización del transporte y la dispersión atmosféricos con los resultados de los </w:t>
      </w:r>
      <w:r w:rsidR="00A95DEF">
        <w:rPr>
          <w:lang w:val="es-ES"/>
        </w:rPr>
        <w:t>CMRE</w:t>
      </w:r>
      <w:r>
        <w:rPr>
          <w:lang w:val="es-ES"/>
        </w:rPr>
        <w:t xml:space="preserve"> y compartiendo esas intercomparaciones con dichos centros; 2) haciendo estudios de caso sobre fenómenos concretos y transmitiendo esa información a los </w:t>
      </w:r>
      <w:r w:rsidR="00A95DEF">
        <w:rPr>
          <w:lang w:val="es-ES"/>
        </w:rPr>
        <w:t>CMRE</w:t>
      </w:r>
      <w:r>
        <w:rPr>
          <w:lang w:val="es-ES"/>
        </w:rPr>
        <w:t xml:space="preserve">, y 3) trabajando con los </w:t>
      </w:r>
      <w:r w:rsidR="00A95DEF">
        <w:rPr>
          <w:lang w:val="es-ES"/>
        </w:rPr>
        <w:t>CMRE</w:t>
      </w:r>
      <w:r>
        <w:rPr>
          <w:lang w:val="es-ES"/>
        </w:rPr>
        <w:t xml:space="preserve"> en avances concretos de los modelos, sobre la base de los estudios de caso.</w:t>
      </w:r>
    </w:p>
    <w:p w14:paraId="1A525D13" w14:textId="3E208F01" w:rsidR="003E5D1B" w:rsidRPr="008357EA" w:rsidRDefault="00E26782">
      <w:pPr>
        <w:spacing w:before="240" w:after="240"/>
        <w:rPr>
          <w:rFonts w:eastAsia="Calibri" w:cs="Times New Roman"/>
          <w:lang w:val="es-419"/>
        </w:rPr>
      </w:pPr>
      <w:r>
        <w:rPr>
          <w:lang w:val="es-ES"/>
        </w:rPr>
        <w:t xml:space="preserve">En lo que respecta a los resultados que facilita la OTPCE, actualmente no hay ningún mecanismo general para que los </w:t>
      </w:r>
      <w:r w:rsidR="00A95DEF">
        <w:rPr>
          <w:lang w:val="es-ES"/>
        </w:rPr>
        <w:t>CMRE</w:t>
      </w:r>
      <w:r>
        <w:rPr>
          <w:lang w:val="es-ES"/>
        </w:rPr>
        <w:t xml:space="preserve"> transmitan </w:t>
      </w:r>
      <w:r w:rsidR="00266530">
        <w:rPr>
          <w:lang w:val="es-ES"/>
        </w:rPr>
        <w:t xml:space="preserve">a los CMN </w:t>
      </w:r>
      <w:r>
        <w:rPr>
          <w:lang w:val="es-ES"/>
        </w:rPr>
        <w:t>los resultados de la modelización operativa</w:t>
      </w:r>
      <w:r w:rsidR="0063329B">
        <w:rPr>
          <w:lang w:val="es-ES"/>
        </w:rPr>
        <w:t xml:space="preserve"> mediante predicción retrospectiva</w:t>
      </w:r>
      <w:r>
        <w:rPr>
          <w:lang w:val="es-ES"/>
        </w:rPr>
        <w:t>, ya que la mayoría de estos no tiene acceso en tiempo real a los datos y productos de dicha Organización. El acceso a los datos en tiempo real está limitado a los Centros Nacionales de Datos de la OTPCE. Sin embargo, hay varias formas de contribuir y cooperar, por ejemplo, participando en ejercicios de intercomparación y estudios de caso basados en conjuntos de datos archivados que están disponibles para fines científicos y de investigación.</w:t>
      </w:r>
    </w:p>
    <w:p w14:paraId="64C95F31" w14:textId="0A1FC82F" w:rsidR="003E5D1B" w:rsidRPr="001C7E83" w:rsidRDefault="00E26782">
      <w:pPr>
        <w:spacing w:before="240" w:after="240"/>
        <w:rPr>
          <w:rFonts w:eastAsia="Calibri" w:cs="Times New Roman"/>
          <w:i/>
          <w:iCs/>
          <w:lang w:val="es-419"/>
        </w:rPr>
      </w:pPr>
      <w:r>
        <w:rPr>
          <w:i/>
          <w:iCs/>
          <w:lang w:val="es-ES"/>
        </w:rPr>
        <w:t>2.3.2.7.2.</w:t>
      </w:r>
      <w:r>
        <w:rPr>
          <w:lang w:val="es-ES"/>
        </w:rPr>
        <w:t xml:space="preserve"> </w:t>
      </w:r>
      <w:r w:rsidR="00947A8C" w:rsidRPr="00947A8C">
        <w:rPr>
          <w:i/>
          <w:iCs/>
          <w:lang w:val="es-ES"/>
        </w:rPr>
        <w:t>Esferas de aplicación y servicio que los CMRE podrían respaldar</w:t>
      </w:r>
    </w:p>
    <w:p w14:paraId="1C55CAF9" w14:textId="7D66B5DE" w:rsidR="003E5D1B" w:rsidRPr="008357EA" w:rsidRDefault="00283355">
      <w:pPr>
        <w:spacing w:after="240" w:line="276" w:lineRule="auto"/>
        <w:rPr>
          <w:rFonts w:eastAsiaTheme="minorEastAsia" w:cstheme="majorBidi"/>
          <w:lang w:val="es-419"/>
        </w:rPr>
      </w:pPr>
      <w:r>
        <w:rPr>
          <w:lang w:val="es-ES"/>
        </w:rPr>
        <w:t>Los productos que facilitan los CMRE están destinados a respaldar las actividades de respuesta en caso de emergencia por accidente nuclear, en particular si los fenómenos son transfronterizos. También contribuyen al sistema de alerta temprana de peligros múltiples.</w:t>
      </w:r>
    </w:p>
    <w:p w14:paraId="225862B7" w14:textId="7F125D03" w:rsidR="003E5D1B" w:rsidRPr="008357EA" w:rsidRDefault="00E26782">
      <w:pPr>
        <w:spacing w:after="240" w:line="276" w:lineRule="auto"/>
        <w:rPr>
          <w:rFonts w:eastAsia="Calibri" w:cs="Times New Roman"/>
          <w:i/>
          <w:iCs/>
          <w:lang w:val="es-419"/>
        </w:rPr>
      </w:pPr>
      <w:r>
        <w:rPr>
          <w:i/>
          <w:iCs/>
          <w:lang w:val="es-ES"/>
        </w:rPr>
        <w:t>2.3.2.7.3.</w:t>
      </w:r>
      <w:r>
        <w:rPr>
          <w:lang w:val="es-ES"/>
        </w:rPr>
        <w:t xml:space="preserve"> </w:t>
      </w:r>
      <w:r w:rsidR="00947A8C" w:rsidRPr="00947A8C">
        <w:rPr>
          <w:i/>
          <w:iCs/>
          <w:lang w:val="es-ES"/>
        </w:rPr>
        <w:t>Recomendaciones sobre la integración en el proceso nacional de apoyo a las decisiones</w:t>
      </w:r>
    </w:p>
    <w:p w14:paraId="33CFB90F" w14:textId="2663B8A7" w:rsidR="003E5D1B" w:rsidRPr="008357EA" w:rsidRDefault="00E26782">
      <w:pPr>
        <w:spacing w:after="240" w:line="276" w:lineRule="auto"/>
        <w:rPr>
          <w:rFonts w:eastAsia="Calibri" w:cs="Times New Roman"/>
          <w:lang w:val="es-419"/>
        </w:rPr>
      </w:pPr>
      <w:r>
        <w:rPr>
          <w:lang w:val="es-ES"/>
        </w:rPr>
        <w:t xml:space="preserve">Se recomienda utilizar los productos de los </w:t>
      </w:r>
      <w:r w:rsidR="00A95DEF">
        <w:rPr>
          <w:lang w:val="es-ES"/>
        </w:rPr>
        <w:t>CMRE</w:t>
      </w:r>
      <w:r>
        <w:rPr>
          <w:lang w:val="es-ES"/>
        </w:rPr>
        <w:t xml:space="preserve"> como parte del proceso nacional de apoyo a las decisiones en caso de incidente o accidente nuclear.</w:t>
      </w:r>
    </w:p>
    <w:p w14:paraId="42FB3F3A" w14:textId="5CD3A47D" w:rsidR="003E5D1B" w:rsidRPr="008357EA" w:rsidRDefault="00E26782">
      <w:pPr>
        <w:numPr>
          <w:ilvl w:val="0"/>
          <w:numId w:val="31"/>
        </w:numPr>
        <w:spacing w:after="240"/>
        <w:rPr>
          <w:rFonts w:eastAsia="Calibri" w:cs="Times New Roman"/>
          <w:lang w:val="es-419"/>
        </w:rPr>
      </w:pPr>
      <w:r>
        <w:rPr>
          <w:lang w:val="es-ES"/>
        </w:rPr>
        <w:t xml:space="preserve">Caso 1: el </w:t>
      </w:r>
      <w:r w:rsidR="00E513A7" w:rsidRPr="00E513A7">
        <w:rPr>
          <w:lang w:val="es-ES"/>
        </w:rPr>
        <w:t xml:space="preserve">Servicio Meteorológico Nacional </w:t>
      </w:r>
      <w:r w:rsidR="00E513A7">
        <w:rPr>
          <w:lang w:val="es-ES"/>
        </w:rPr>
        <w:t>(</w:t>
      </w:r>
      <w:r>
        <w:rPr>
          <w:lang w:val="es-ES"/>
        </w:rPr>
        <w:t>SMN</w:t>
      </w:r>
      <w:r w:rsidR="00E513A7">
        <w:rPr>
          <w:lang w:val="es-ES"/>
        </w:rPr>
        <w:t>)</w:t>
      </w:r>
      <w:r>
        <w:rPr>
          <w:lang w:val="es-ES"/>
        </w:rPr>
        <w:t xml:space="preserve"> no dispone de otros productos de modelización del transporte y la dispersión atmosféricos. En ese caso, los productos del </w:t>
      </w:r>
      <w:r w:rsidR="00A95DEF">
        <w:rPr>
          <w:lang w:val="es-ES"/>
        </w:rPr>
        <w:t>CMRE</w:t>
      </w:r>
      <w:r>
        <w:rPr>
          <w:lang w:val="es-ES"/>
        </w:rPr>
        <w:t xml:space="preserve"> pueden utilizarse junto con un boletín meteorológico general como información destinada a las autoridades para describir y predecir la dispersión del material nuclear y planificar la vigilancia nacional y otras actividades de intervención.</w:t>
      </w:r>
    </w:p>
    <w:p w14:paraId="3BB5788D" w14:textId="1CCEC168" w:rsidR="003E5D1B" w:rsidRPr="008357EA" w:rsidRDefault="00E26782">
      <w:pPr>
        <w:numPr>
          <w:ilvl w:val="0"/>
          <w:numId w:val="31"/>
        </w:numPr>
        <w:spacing w:after="240"/>
        <w:rPr>
          <w:rFonts w:eastAsia="Calibri" w:cs="Times New Roman"/>
          <w:lang w:val="es-419"/>
        </w:rPr>
      </w:pPr>
      <w:r>
        <w:rPr>
          <w:lang w:val="es-ES"/>
        </w:rPr>
        <w:t xml:space="preserve">Caso 2: el SMN tiene acceso a simulaciones propias de modelización del transporte y la dispersión atmosféricos. En ese caso, se recomienda comparar los productos de los </w:t>
      </w:r>
      <w:r w:rsidR="00A95DEF">
        <w:rPr>
          <w:lang w:val="es-ES"/>
        </w:rPr>
        <w:t>CMRE</w:t>
      </w:r>
      <w:r>
        <w:rPr>
          <w:lang w:val="es-ES"/>
        </w:rPr>
        <w:t xml:space="preserve"> con los nacionales. Teniendo en cuenta la situación meteorológica real y </w:t>
      </w:r>
      <w:r w:rsidR="00E513A7">
        <w:rPr>
          <w:lang w:val="es-ES"/>
        </w:rPr>
        <w:t>la</w:t>
      </w:r>
      <w:r>
        <w:rPr>
          <w:lang w:val="es-ES"/>
        </w:rPr>
        <w:t xml:space="preserve"> evolución observada</w:t>
      </w:r>
      <w:r w:rsidR="00E513A7">
        <w:rPr>
          <w:lang w:val="es-ES"/>
        </w:rPr>
        <w:t>s</w:t>
      </w:r>
      <w:r>
        <w:rPr>
          <w:lang w:val="es-ES"/>
        </w:rPr>
        <w:t xml:space="preserve"> por </w:t>
      </w:r>
      <w:r w:rsidR="00E513A7">
        <w:rPr>
          <w:lang w:val="es-ES"/>
        </w:rPr>
        <w:t>el pronosticador o los pronosticadores</w:t>
      </w:r>
      <w:r>
        <w:rPr>
          <w:lang w:val="es-ES"/>
        </w:rPr>
        <w:t xml:space="preserve"> de </w:t>
      </w:r>
      <w:r w:rsidR="00E513A7">
        <w:rPr>
          <w:lang w:val="es-ES"/>
        </w:rPr>
        <w:t>servicio</w:t>
      </w:r>
      <w:r>
        <w:rPr>
          <w:lang w:val="es-ES"/>
        </w:rPr>
        <w:t>, se puede decidir qué progresión de</w:t>
      </w:r>
      <w:r w:rsidR="00E513A7">
        <w:rPr>
          <w:lang w:val="es-ES"/>
        </w:rPr>
        <w:t xml:space="preserve">l penacho </w:t>
      </w:r>
      <w:r>
        <w:rPr>
          <w:lang w:val="es-ES"/>
        </w:rPr>
        <w:t xml:space="preserve">es </w:t>
      </w:r>
      <w:r w:rsidR="00E513A7">
        <w:rPr>
          <w:lang w:val="es-ES"/>
        </w:rPr>
        <w:t xml:space="preserve">la </w:t>
      </w:r>
      <w:r>
        <w:rPr>
          <w:lang w:val="es-ES"/>
        </w:rPr>
        <w:t xml:space="preserve">más probable </w:t>
      </w:r>
      <w:r w:rsidR="00F159C8">
        <w:rPr>
          <w:lang w:val="es-ES"/>
        </w:rPr>
        <w:t>para utilizarla</w:t>
      </w:r>
      <w:r>
        <w:rPr>
          <w:lang w:val="es-ES"/>
        </w:rPr>
        <w:t xml:space="preserve"> finalmente </w:t>
      </w:r>
      <w:r w:rsidR="00F159C8">
        <w:rPr>
          <w:lang w:val="es-ES"/>
        </w:rPr>
        <w:t>en la planificación de</w:t>
      </w:r>
      <w:r>
        <w:rPr>
          <w:lang w:val="es-ES"/>
        </w:rPr>
        <w:t xml:space="preserve"> diversas actividades de vigilancia e intervención.</w:t>
      </w:r>
    </w:p>
    <w:p w14:paraId="3BDE82F4" w14:textId="1C399276" w:rsidR="003E5D1B" w:rsidRPr="008357EA" w:rsidRDefault="00E26782">
      <w:pPr>
        <w:spacing w:after="240" w:line="276" w:lineRule="auto"/>
        <w:rPr>
          <w:rFonts w:eastAsia="Calibri" w:cs="Times New Roman"/>
          <w:i/>
          <w:iCs/>
          <w:lang w:val="es-419"/>
        </w:rPr>
      </w:pPr>
      <w:r>
        <w:rPr>
          <w:i/>
          <w:iCs/>
          <w:lang w:val="es-ES"/>
        </w:rPr>
        <w:lastRenderedPageBreak/>
        <w:t>2.3.2.7.4.</w:t>
      </w:r>
      <w:r>
        <w:rPr>
          <w:lang w:val="es-ES"/>
        </w:rPr>
        <w:t xml:space="preserve"> </w:t>
      </w:r>
      <w:r w:rsidR="00947A8C" w:rsidRPr="00947A8C">
        <w:rPr>
          <w:i/>
          <w:iCs/>
          <w:lang w:val="es-ES"/>
        </w:rPr>
        <w:t>Mecanismo de retroinformación sobre la utilidad y exactitud de los productos</w:t>
      </w:r>
    </w:p>
    <w:p w14:paraId="62529A4A" w14:textId="37B935BF" w:rsidR="003E5D1B" w:rsidRPr="008357EA" w:rsidRDefault="00E26782">
      <w:pPr>
        <w:rPr>
          <w:lang w:val="es-419"/>
        </w:rPr>
      </w:pPr>
      <w:r>
        <w:rPr>
          <w:lang w:val="es-ES"/>
        </w:rPr>
        <w:t xml:space="preserve">Se anima a los </w:t>
      </w:r>
      <w:r w:rsidR="006753E1">
        <w:rPr>
          <w:lang w:val="es-ES"/>
        </w:rPr>
        <w:t>CMN</w:t>
      </w:r>
      <w:r>
        <w:rPr>
          <w:lang w:val="es-ES"/>
        </w:rPr>
        <w:t xml:space="preserve"> a brindar retroinformación a los </w:t>
      </w:r>
      <w:r w:rsidR="00A95DEF">
        <w:rPr>
          <w:lang w:val="es-ES"/>
        </w:rPr>
        <w:t>CMRE</w:t>
      </w:r>
      <w:r>
        <w:rPr>
          <w:lang w:val="es-ES"/>
        </w:rPr>
        <w:t xml:space="preserve"> sobre las simulaciones y los productos conexos que estos proporcionan. Para ello, pueden utilizarse diversos ejercicios existentes y ya programados.</w:t>
      </w:r>
    </w:p>
    <w:p w14:paraId="15F5E5F2" w14:textId="16CD5CD0" w:rsidR="003E5D1B" w:rsidRPr="008357EA" w:rsidRDefault="00E26782">
      <w:pPr>
        <w:keepNext/>
        <w:spacing w:before="240" w:after="240" w:line="240" w:lineRule="exact"/>
        <w:ind w:left="1123" w:hanging="1123"/>
        <w:outlineLvl w:val="5"/>
        <w:rPr>
          <w:rFonts w:eastAsiaTheme="minorEastAsia" w:cstheme="majorBidi"/>
          <w:b/>
          <w:bCs/>
          <w:i/>
          <w:iCs/>
          <w:color w:val="000000" w:themeColor="text1"/>
          <w:lang w:val="es-419"/>
        </w:rPr>
      </w:pPr>
      <w:bookmarkStart w:id="171" w:name="_Toc113003331"/>
      <w:bookmarkStart w:id="172" w:name="_Toc113024456"/>
      <w:bookmarkStart w:id="173" w:name="_Toc117501987"/>
      <w:r>
        <w:rPr>
          <w:b/>
          <w:bCs/>
          <w:i/>
          <w:iCs/>
          <w:lang w:val="es-ES"/>
        </w:rPr>
        <w:t>2.3.2.8</w:t>
      </w:r>
      <w:r>
        <w:rPr>
          <w:lang w:val="es-ES"/>
        </w:rPr>
        <w:t xml:space="preserve"> </w:t>
      </w:r>
      <w:r>
        <w:rPr>
          <w:b/>
          <w:bCs/>
          <w:i/>
          <w:iCs/>
          <w:lang w:val="es-ES"/>
        </w:rPr>
        <w:t>Respuesta en casos de emergencia medioambiental no vinculados con accidentes nucleares</w:t>
      </w:r>
      <w:r w:rsidR="004F6F84">
        <w:rPr>
          <w:lang w:val="es-ES"/>
        </w:rPr>
        <w:t xml:space="preserve"> </w:t>
      </w:r>
      <w:bookmarkEnd w:id="171"/>
      <w:bookmarkEnd w:id="172"/>
      <w:bookmarkEnd w:id="173"/>
    </w:p>
    <w:p w14:paraId="15833F52" w14:textId="55EB21C9" w:rsidR="003E5D1B" w:rsidRPr="008357EA" w:rsidRDefault="00E26782">
      <w:pPr>
        <w:spacing w:after="240" w:line="276" w:lineRule="auto"/>
        <w:rPr>
          <w:rFonts w:eastAsiaTheme="minorEastAsia" w:cstheme="majorBidi"/>
          <w:i/>
          <w:iCs/>
          <w:color w:val="000000" w:themeColor="text1"/>
          <w:lang w:val="es-419"/>
        </w:rPr>
      </w:pPr>
      <w:r>
        <w:rPr>
          <w:i/>
          <w:iCs/>
          <w:lang w:val="es-ES"/>
        </w:rPr>
        <w:t>2.3.2.8.1</w:t>
      </w:r>
      <w:r>
        <w:rPr>
          <w:lang w:val="es-ES"/>
        </w:rPr>
        <w:t xml:space="preserve"> </w:t>
      </w:r>
      <w:r w:rsidR="00947A8C" w:rsidRPr="00947A8C">
        <w:rPr>
          <w:i/>
          <w:iCs/>
          <w:lang w:val="es-ES"/>
        </w:rPr>
        <w:t>Resumen general de la actividad de los CMRE</w:t>
      </w:r>
      <w:r w:rsidR="00947A8C">
        <w:rPr>
          <w:lang w:val="es-ES"/>
        </w:rPr>
        <w:t xml:space="preserve"> </w:t>
      </w:r>
    </w:p>
    <w:p w14:paraId="6720EE6D" w14:textId="4A2F3209" w:rsidR="003E5D1B" w:rsidRPr="008357EA" w:rsidRDefault="00E26782">
      <w:pPr>
        <w:spacing w:after="240" w:line="276" w:lineRule="auto"/>
        <w:rPr>
          <w:rFonts w:eastAsia="Calibri" w:cs="Times New Roman"/>
          <w:lang w:val="es-419"/>
        </w:rPr>
      </w:pPr>
      <w:r>
        <w:rPr>
          <w:lang w:val="es-ES"/>
        </w:rPr>
        <w:t>Dado que los Miembros de la OMM demanda</w:t>
      </w:r>
      <w:r w:rsidR="004B0761">
        <w:rPr>
          <w:lang w:val="es-ES"/>
        </w:rPr>
        <w:t>ba</w:t>
      </w:r>
      <w:r>
        <w:rPr>
          <w:lang w:val="es-ES"/>
        </w:rPr>
        <w:t xml:space="preserve">n </w:t>
      </w:r>
      <w:r w:rsidR="004B0761">
        <w:rPr>
          <w:lang w:val="es-ES"/>
        </w:rPr>
        <w:t xml:space="preserve">cada vez </w:t>
      </w:r>
      <w:r>
        <w:rPr>
          <w:lang w:val="es-ES"/>
        </w:rPr>
        <w:t xml:space="preserve">más información de apoyo ante las emergencias medioambientales no vinculadas con accidentes nucleares, y dada la capacidad que </w:t>
      </w:r>
      <w:r w:rsidR="003B7C64">
        <w:rPr>
          <w:lang w:val="es-ES"/>
        </w:rPr>
        <w:t>existía</w:t>
      </w:r>
      <w:r>
        <w:rPr>
          <w:lang w:val="es-ES"/>
        </w:rPr>
        <w:t xml:space="preserve"> en algunos </w:t>
      </w:r>
      <w:r w:rsidR="00A95DEF">
        <w:rPr>
          <w:lang w:val="es-ES"/>
        </w:rPr>
        <w:t>CMRE</w:t>
      </w:r>
      <w:r>
        <w:rPr>
          <w:lang w:val="es-ES"/>
        </w:rPr>
        <w:t>, en el Decimotercer Congreso Meteorológico Mundial (Cg-13)</w:t>
      </w:r>
      <w:r w:rsidR="009E5E26">
        <w:rPr>
          <w:lang w:val="es-ES"/>
        </w:rPr>
        <w:t xml:space="preserve">, que se llevó a cabo en </w:t>
      </w:r>
      <w:r>
        <w:rPr>
          <w:lang w:val="es-ES"/>
        </w:rPr>
        <w:t>2003</w:t>
      </w:r>
      <w:r w:rsidR="009E5E26">
        <w:rPr>
          <w:lang w:val="es-ES"/>
        </w:rPr>
        <w:t>,</w:t>
      </w:r>
      <w:r>
        <w:rPr>
          <w:lang w:val="es-ES"/>
        </w:rPr>
        <w:t xml:space="preserve"> se expresó la necesidad de que hubiera </w:t>
      </w:r>
      <w:r w:rsidR="00A95DEF">
        <w:rPr>
          <w:lang w:val="es-ES"/>
        </w:rPr>
        <w:t>CMRE</w:t>
      </w:r>
      <w:r>
        <w:rPr>
          <w:lang w:val="es-ES"/>
        </w:rPr>
        <w:t xml:space="preserve"> </w:t>
      </w:r>
      <w:r w:rsidR="009E5E26">
        <w:rPr>
          <w:lang w:val="es-ES"/>
        </w:rPr>
        <w:t>que se ocuparan de</w:t>
      </w:r>
      <w:r>
        <w:rPr>
          <w:lang w:val="es-ES"/>
        </w:rPr>
        <w:t xml:space="preserve"> la respuesta en casos de emergencia medioambiental no vinculados con accidentes nucleares</w:t>
      </w:r>
      <w:r w:rsidR="004B0761">
        <w:rPr>
          <w:lang w:val="es-ES"/>
        </w:rPr>
        <w:t>. Esos CMRE facilitarían</w:t>
      </w:r>
      <w:r>
        <w:rPr>
          <w:lang w:val="es-ES"/>
        </w:rPr>
        <w:t xml:space="preserve"> productos de predicción y retroanálisis sobre la modelización del transporte y la dispersión atmosféricos relacionados con los siguientes fenómenos: incendios forestales, explosiones químicas o virus transmitidos por el aire. Los criterios para designar </w:t>
      </w:r>
      <w:r w:rsidR="004B0761">
        <w:rPr>
          <w:lang w:val="es-ES"/>
        </w:rPr>
        <w:t>ese tipo de</w:t>
      </w:r>
      <w:r>
        <w:rPr>
          <w:lang w:val="es-ES"/>
        </w:rPr>
        <w:t xml:space="preserve"> </w:t>
      </w:r>
      <w:r w:rsidR="00A95DEF">
        <w:rPr>
          <w:lang w:val="es-ES"/>
        </w:rPr>
        <w:t>CMRE</w:t>
      </w:r>
      <w:r>
        <w:rPr>
          <w:lang w:val="es-ES"/>
        </w:rPr>
        <w:t xml:space="preserve"> se establecieron en la 69ª reunión del </w:t>
      </w:r>
      <w:r w:rsidR="00F81A61">
        <w:rPr>
          <w:lang w:val="es-ES"/>
        </w:rPr>
        <w:t>Consejo Ejecutivo</w:t>
      </w:r>
      <w:r>
        <w:rPr>
          <w:lang w:val="es-ES"/>
        </w:rPr>
        <w:t xml:space="preserve"> (2017).</w:t>
      </w:r>
    </w:p>
    <w:p w14:paraId="7567A9EE" w14:textId="58DA37A9" w:rsidR="003E5D1B" w:rsidRPr="008357EA" w:rsidRDefault="00E26782">
      <w:pPr>
        <w:spacing w:after="240" w:line="276" w:lineRule="auto"/>
        <w:rPr>
          <w:rFonts w:eastAsia="Calibri" w:cs="Times New Roman"/>
          <w:i/>
          <w:iCs/>
          <w:lang w:val="es-419"/>
        </w:rPr>
      </w:pPr>
      <w:r>
        <w:rPr>
          <w:lang w:val="es-ES"/>
        </w:rPr>
        <w:t xml:space="preserve">i) </w:t>
      </w:r>
      <w:r w:rsidR="00947A8C" w:rsidRPr="00947A8C">
        <w:rPr>
          <w:i/>
          <w:iCs/>
          <w:lang w:val="es-ES"/>
        </w:rPr>
        <w:t>Centros designados y modalidad de trabajo</w:t>
      </w:r>
    </w:p>
    <w:p w14:paraId="24EF039A" w14:textId="131513D5" w:rsidR="003E5D1B" w:rsidRPr="008357EA" w:rsidRDefault="00E26782">
      <w:pPr>
        <w:spacing w:after="240" w:line="276" w:lineRule="auto"/>
        <w:rPr>
          <w:rFonts w:eastAsia="Verdana" w:cs="Verdana"/>
          <w:b/>
          <w:bCs/>
          <w:i/>
          <w:iCs/>
          <w:color w:val="000000" w:themeColor="text1"/>
          <w:lang w:val="es-419"/>
        </w:rPr>
      </w:pPr>
      <w:r>
        <w:rPr>
          <w:lang w:val="es-ES"/>
        </w:rPr>
        <w:t xml:space="preserve">La lista de los </w:t>
      </w:r>
      <w:r w:rsidR="00A95DEF">
        <w:rPr>
          <w:lang w:val="es-ES"/>
        </w:rPr>
        <w:t>CMRE</w:t>
      </w:r>
      <w:r>
        <w:rPr>
          <w:lang w:val="es-ES"/>
        </w:rPr>
        <w:t xml:space="preserve"> designados para dar respuesta en casos de emergencia medioambiental no vinculados con accidentes nucleares figura en la parte III del </w:t>
      </w:r>
      <w:r w:rsidR="00B36420" w:rsidRPr="00B36420">
        <w:rPr>
          <w:i/>
          <w:iCs/>
          <w:lang w:val="es-ES"/>
        </w:rPr>
        <w:t>Manual del GDPFS</w:t>
      </w:r>
      <w:r>
        <w:rPr>
          <w:lang w:val="es-ES"/>
        </w:rPr>
        <w:t xml:space="preserve">. </w:t>
      </w:r>
    </w:p>
    <w:p w14:paraId="0069F368" w14:textId="732B7C73" w:rsidR="003E5D1B" w:rsidRPr="008357EA" w:rsidRDefault="00E26782">
      <w:pPr>
        <w:spacing w:after="240" w:line="276" w:lineRule="auto"/>
        <w:rPr>
          <w:rFonts w:eastAsia="Calibri" w:cs="Times New Roman"/>
          <w:lang w:val="es-419"/>
        </w:rPr>
      </w:pPr>
      <w:r>
        <w:rPr>
          <w:lang w:val="es-ES"/>
        </w:rPr>
        <w:t xml:space="preserve">Cada </w:t>
      </w:r>
      <w:r w:rsidR="00A95DEF">
        <w:rPr>
          <w:lang w:val="es-ES"/>
        </w:rPr>
        <w:t>CMRE</w:t>
      </w:r>
      <w:r>
        <w:rPr>
          <w:lang w:val="es-ES"/>
        </w:rPr>
        <w:t xml:space="preserve"> proporciona productos de retroanálisis y </w:t>
      </w:r>
      <w:r w:rsidR="006753E1">
        <w:rPr>
          <w:lang w:val="es-ES"/>
        </w:rPr>
        <w:t>predicción</w:t>
      </w:r>
      <w:r>
        <w:rPr>
          <w:lang w:val="es-ES"/>
        </w:rPr>
        <w:t xml:space="preserve"> </w:t>
      </w:r>
      <w:r w:rsidR="006550BD">
        <w:rPr>
          <w:lang w:val="es-ES"/>
        </w:rPr>
        <w:t>de conformidad con</w:t>
      </w:r>
      <w:r>
        <w:rPr>
          <w:lang w:val="es-ES"/>
        </w:rPr>
        <w:t xml:space="preserve"> la fecha, el tipo y el ámbito geográfico relacionado </w:t>
      </w:r>
      <w:r w:rsidR="00C735B2">
        <w:rPr>
          <w:lang w:val="es-ES"/>
        </w:rPr>
        <w:t>correspondientes al</w:t>
      </w:r>
      <w:r>
        <w:rPr>
          <w:lang w:val="es-ES"/>
        </w:rPr>
        <w:t xml:space="preserve"> fenómeno. En el GDPFS no hay ningún mecanismo destinado a coordinar las actividades de los </w:t>
      </w:r>
      <w:r w:rsidR="00A95DEF">
        <w:rPr>
          <w:lang w:val="es-ES"/>
        </w:rPr>
        <w:t>CMRE</w:t>
      </w:r>
      <w:r>
        <w:rPr>
          <w:lang w:val="es-ES"/>
        </w:rPr>
        <w:t xml:space="preserve"> que dan respuesta en casos de emergencia medioambiental no vinculados con accidentes nucleares. </w:t>
      </w:r>
    </w:p>
    <w:p w14:paraId="7BAB82B1" w14:textId="6D1ECD37" w:rsidR="003E5D1B" w:rsidRPr="008357EA" w:rsidRDefault="00E26782">
      <w:pPr>
        <w:spacing w:after="240" w:line="276" w:lineRule="auto"/>
        <w:rPr>
          <w:rFonts w:eastAsia="Calibri" w:cs="Times New Roman"/>
          <w:i/>
          <w:iCs/>
          <w:lang w:val="es-419"/>
        </w:rPr>
      </w:pPr>
      <w:r>
        <w:rPr>
          <w:lang w:val="es-ES"/>
        </w:rPr>
        <w:t xml:space="preserve">ii) </w:t>
      </w:r>
      <w:r w:rsidR="00947A8C" w:rsidRPr="00947A8C">
        <w:rPr>
          <w:i/>
          <w:iCs/>
          <w:lang w:val="es-ES"/>
        </w:rPr>
        <w:t>Qué beneficios pueden obtener los CMN de los CMRE y cómo pueden contribuir con ellos</w:t>
      </w:r>
      <w:r>
        <w:rPr>
          <w:lang w:val="es-ES"/>
        </w:rPr>
        <w:t xml:space="preserve"> </w:t>
      </w:r>
    </w:p>
    <w:p w14:paraId="7DC1BD0E" w14:textId="1883F7BD" w:rsidR="003E5D1B" w:rsidRPr="008357EA" w:rsidRDefault="00E26782">
      <w:pPr>
        <w:spacing w:after="240" w:line="240" w:lineRule="exact"/>
        <w:rPr>
          <w:rFonts w:eastAsiaTheme="minorEastAsia" w:cs="Times New Roman"/>
          <w:lang w:val="es-419"/>
        </w:rPr>
      </w:pPr>
      <w:r>
        <w:rPr>
          <w:lang w:val="es-ES"/>
        </w:rPr>
        <w:t xml:space="preserve">Los SMHN pueden utilizar el formulario que figura en el apéndice 2.2.32 del </w:t>
      </w:r>
      <w:r w:rsidR="00B36420" w:rsidRPr="00B36420">
        <w:rPr>
          <w:i/>
          <w:iCs/>
          <w:lang w:val="es-ES"/>
        </w:rPr>
        <w:t>Manual del GDPFS</w:t>
      </w:r>
      <w:r>
        <w:rPr>
          <w:lang w:val="es-ES"/>
        </w:rPr>
        <w:t xml:space="preserve"> a fin de solicitar la activación del apoyo de un </w:t>
      </w:r>
      <w:r w:rsidR="00A95DEF">
        <w:rPr>
          <w:lang w:val="es-ES"/>
        </w:rPr>
        <w:t>CMRE</w:t>
      </w:r>
      <w:r>
        <w:rPr>
          <w:lang w:val="es-ES"/>
        </w:rPr>
        <w:t xml:space="preserve"> para dar respuesta en casos de emergencia medioambiental no vinculados con accidentes nucleares. También pueden acceder a los productos de los </w:t>
      </w:r>
      <w:r w:rsidR="00A95DEF">
        <w:rPr>
          <w:lang w:val="es-ES"/>
        </w:rPr>
        <w:t>CMRE</w:t>
      </w:r>
      <w:r>
        <w:rPr>
          <w:lang w:val="es-ES"/>
        </w:rPr>
        <w:t xml:space="preserve"> por correo electrónico u obtenerlos del </w:t>
      </w:r>
      <w:r w:rsidR="001C5219">
        <w:rPr>
          <w:lang w:val="es-ES"/>
        </w:rPr>
        <w:t>WIS</w:t>
      </w:r>
      <w:r>
        <w:rPr>
          <w:lang w:val="es-ES"/>
        </w:rPr>
        <w:t xml:space="preserve">, a través de un sitio web especializado. Los metadatos del </w:t>
      </w:r>
      <w:r w:rsidR="001C5219">
        <w:rPr>
          <w:lang w:val="es-ES"/>
        </w:rPr>
        <w:t>WIS</w:t>
      </w:r>
      <w:r>
        <w:rPr>
          <w:lang w:val="es-ES"/>
        </w:rPr>
        <w:t xml:space="preserve"> asociados a cada archivo de productos se obtienen en el </w:t>
      </w:r>
      <w:hyperlink r:id="rId50" w:history="1">
        <w:r w:rsidR="00464890" w:rsidRPr="00464890">
          <w:rPr>
            <w:rStyle w:val="Hyperlink"/>
            <w:lang w:val="es-ES"/>
          </w:rPr>
          <w:t>portal web del GDPFS</w:t>
        </w:r>
      </w:hyperlink>
      <w:r>
        <w:rPr>
          <w:lang w:val="es-ES"/>
        </w:rPr>
        <w:t xml:space="preserve"> seleccionando la respuesta en casos de emergencia medioambiental no vinculados con accidentes nucleares en la lista de actividades. </w:t>
      </w:r>
    </w:p>
    <w:p w14:paraId="0C7EBAF3" w14:textId="6652394B" w:rsidR="003E5D1B" w:rsidRPr="008357EA" w:rsidRDefault="00E26782">
      <w:pPr>
        <w:spacing w:after="240" w:line="240" w:lineRule="exact"/>
        <w:rPr>
          <w:rFonts w:eastAsiaTheme="minorEastAsia" w:cs="Times New Roman"/>
          <w:lang w:val="es-419"/>
        </w:rPr>
      </w:pPr>
      <w:r>
        <w:rPr>
          <w:lang w:val="es-ES"/>
        </w:rPr>
        <w:t xml:space="preserve">Se anima a los SMHN a que contribuyan a las actividades de los </w:t>
      </w:r>
      <w:r w:rsidR="00A95DEF">
        <w:rPr>
          <w:lang w:val="es-ES"/>
        </w:rPr>
        <w:t>CMRE</w:t>
      </w:r>
      <w:r>
        <w:rPr>
          <w:lang w:val="es-ES"/>
        </w:rPr>
        <w:t xml:space="preserve"> que dan respuesta en casos de emergencia medioambiental no vinculados con accidentes nucleares de las siguientes maneras (enumeración no taxativa): a) proporcionando información actualizada en tiempo real o casi real sobre la evolución del fenómeno; b) verificando los productos de los </w:t>
      </w:r>
      <w:r w:rsidR="00A95DEF">
        <w:rPr>
          <w:lang w:val="es-ES"/>
        </w:rPr>
        <w:t>CMRE</w:t>
      </w:r>
      <w:r>
        <w:rPr>
          <w:lang w:val="es-ES"/>
        </w:rPr>
        <w:t xml:space="preserve"> y brindando retroinformación sobre el desempeño de estos, y c) realizando una evaluación posterior al fenómeno</w:t>
      </w:r>
      <w:r w:rsidR="00C735B2">
        <w:rPr>
          <w:lang w:val="es-ES"/>
        </w:rPr>
        <w:t>,</w:t>
      </w:r>
      <w:r>
        <w:rPr>
          <w:lang w:val="es-ES"/>
        </w:rPr>
        <w:t xml:space="preserve"> y transmitiendo las conclusiones y recomendaciones a los </w:t>
      </w:r>
      <w:r w:rsidR="00A95DEF">
        <w:rPr>
          <w:lang w:val="es-ES"/>
        </w:rPr>
        <w:t>CMRE</w:t>
      </w:r>
      <w:r>
        <w:rPr>
          <w:lang w:val="es-ES"/>
        </w:rPr>
        <w:t>.</w:t>
      </w:r>
    </w:p>
    <w:p w14:paraId="74D6AF4D" w14:textId="661DF4A1" w:rsidR="003E5D1B" w:rsidRPr="008357EA" w:rsidRDefault="00E26782">
      <w:pPr>
        <w:spacing w:after="240" w:line="276" w:lineRule="auto"/>
        <w:rPr>
          <w:rFonts w:eastAsia="Calibri" w:cs="Times New Roman"/>
          <w:i/>
          <w:iCs/>
          <w:lang w:val="es-419"/>
        </w:rPr>
      </w:pPr>
      <w:r>
        <w:rPr>
          <w:i/>
          <w:iCs/>
          <w:lang w:val="es-ES"/>
        </w:rPr>
        <w:t>2.3.2.8.2.</w:t>
      </w:r>
      <w:r>
        <w:rPr>
          <w:lang w:val="es-ES"/>
        </w:rPr>
        <w:t xml:space="preserve"> </w:t>
      </w:r>
      <w:r w:rsidR="00947A8C" w:rsidRPr="00947A8C">
        <w:rPr>
          <w:i/>
          <w:iCs/>
          <w:lang w:val="es-ES"/>
        </w:rPr>
        <w:t>Esferas de aplicación y servicio que los CMRE podrían respaldar</w:t>
      </w:r>
    </w:p>
    <w:p w14:paraId="6B10118F" w14:textId="0A9C2BF3" w:rsidR="003E5D1B" w:rsidRPr="008357EA" w:rsidRDefault="00283355">
      <w:pPr>
        <w:spacing w:after="240" w:line="276" w:lineRule="auto"/>
        <w:rPr>
          <w:rFonts w:eastAsiaTheme="minorEastAsia" w:cstheme="majorBidi"/>
          <w:lang w:val="es-419"/>
        </w:rPr>
      </w:pPr>
      <w:r>
        <w:rPr>
          <w:lang w:val="es-ES"/>
        </w:rPr>
        <w:t>Los productos que facilitan los CMRE están destinados a respaldar la respuesta en casos de emergencia medioambiental no vinculados con accidentes nucleares, en particular si los fenómenos son transfronterizos. También contribuyen a los sistemas de alerta temprana de peligros múltiples.</w:t>
      </w:r>
    </w:p>
    <w:p w14:paraId="627E8D10" w14:textId="165BFF83" w:rsidR="003E5D1B" w:rsidRPr="008357EA" w:rsidRDefault="00E26782">
      <w:pPr>
        <w:spacing w:after="240" w:line="276" w:lineRule="auto"/>
        <w:rPr>
          <w:rFonts w:eastAsia="Calibri" w:cs="Times New Roman"/>
          <w:i/>
          <w:iCs/>
          <w:lang w:val="es-419"/>
        </w:rPr>
      </w:pPr>
      <w:r>
        <w:rPr>
          <w:i/>
          <w:iCs/>
          <w:lang w:val="es-ES"/>
        </w:rPr>
        <w:lastRenderedPageBreak/>
        <w:t>2.3.2.8.3.</w:t>
      </w:r>
      <w:r>
        <w:rPr>
          <w:lang w:val="es-ES"/>
        </w:rPr>
        <w:t xml:space="preserve"> </w:t>
      </w:r>
      <w:r w:rsidR="00947A8C" w:rsidRPr="00947A8C">
        <w:rPr>
          <w:i/>
          <w:iCs/>
          <w:lang w:val="es-ES"/>
        </w:rPr>
        <w:t>Recomendaciones sobre la integración en el proceso nacional de apoyo a las decisiones</w:t>
      </w:r>
    </w:p>
    <w:p w14:paraId="2BF6913B" w14:textId="1429835E" w:rsidR="003E5D1B" w:rsidRPr="008357EA" w:rsidRDefault="00E26782">
      <w:pPr>
        <w:shd w:val="clear" w:color="auto" w:fill="FFFFFF" w:themeFill="background1"/>
        <w:tabs>
          <w:tab w:val="clear" w:pos="1134"/>
        </w:tabs>
        <w:spacing w:beforeAutospacing="1" w:after="200" w:afterAutospacing="1" w:line="276" w:lineRule="auto"/>
        <w:rPr>
          <w:rFonts w:eastAsia="Times New Roman" w:cs="Times New Roman"/>
          <w:lang w:val="es-419"/>
        </w:rPr>
      </w:pPr>
      <w:r>
        <w:rPr>
          <w:lang w:val="es-ES"/>
        </w:rPr>
        <w:t xml:space="preserve">En su calidad de actividad especializada, se recomienda aplicar los siguientes pasos para integrar los productos de los </w:t>
      </w:r>
      <w:r w:rsidR="00A95DEF">
        <w:rPr>
          <w:lang w:val="es-ES"/>
        </w:rPr>
        <w:t>CMRE</w:t>
      </w:r>
      <w:r>
        <w:rPr>
          <w:lang w:val="es-ES"/>
        </w:rPr>
        <w:t xml:space="preserve"> en el proceso nacional de predicción: </w:t>
      </w:r>
    </w:p>
    <w:p w14:paraId="2D2E45EC" w14:textId="370BA44E" w:rsidR="003E5D1B" w:rsidRPr="008357EA" w:rsidRDefault="000962C6">
      <w:pPr>
        <w:numPr>
          <w:ilvl w:val="0"/>
          <w:numId w:val="21"/>
        </w:numPr>
        <w:tabs>
          <w:tab w:val="clear" w:pos="1134"/>
          <w:tab w:val="left" w:pos="960"/>
        </w:tabs>
        <w:spacing w:after="240" w:line="240" w:lineRule="exact"/>
        <w:rPr>
          <w:b/>
          <w:bCs/>
          <w:szCs w:val="22"/>
          <w:lang w:val="es-419"/>
        </w:rPr>
      </w:pPr>
      <w:r>
        <w:rPr>
          <w:lang w:val="es-ES"/>
        </w:rPr>
        <w:t>Analizar las condiciones de las predicciones y los análisis del tiempo en el lugar del fenómeno y en las zonas circundantes utilizando las observaciones locales y de teledetección.</w:t>
      </w:r>
    </w:p>
    <w:p w14:paraId="633D3F21" w14:textId="26AB38CA" w:rsidR="003E5D1B" w:rsidRPr="008357EA" w:rsidRDefault="00E26782">
      <w:pPr>
        <w:numPr>
          <w:ilvl w:val="0"/>
          <w:numId w:val="21"/>
        </w:numPr>
        <w:tabs>
          <w:tab w:val="clear" w:pos="1134"/>
          <w:tab w:val="left" w:pos="960"/>
        </w:tabs>
        <w:spacing w:after="240" w:line="240" w:lineRule="exact"/>
        <w:rPr>
          <w:b/>
          <w:bCs/>
          <w:szCs w:val="22"/>
          <w:lang w:val="es-419"/>
        </w:rPr>
      </w:pPr>
      <w:r>
        <w:rPr>
          <w:lang w:val="es-ES"/>
        </w:rPr>
        <w:t xml:space="preserve">Examinar los productos de los </w:t>
      </w:r>
      <w:r w:rsidR="00A95DEF">
        <w:rPr>
          <w:lang w:val="es-ES"/>
        </w:rPr>
        <w:t>CMRE</w:t>
      </w:r>
      <w:r>
        <w:rPr>
          <w:lang w:val="es-ES"/>
        </w:rPr>
        <w:t xml:space="preserve"> y analizar su desempeño.</w:t>
      </w:r>
    </w:p>
    <w:p w14:paraId="3FABD15F" w14:textId="02FF8F1A" w:rsidR="003E5D1B" w:rsidRPr="008357EA" w:rsidRDefault="000962C6">
      <w:pPr>
        <w:numPr>
          <w:ilvl w:val="0"/>
          <w:numId w:val="21"/>
        </w:numPr>
        <w:tabs>
          <w:tab w:val="clear" w:pos="1134"/>
          <w:tab w:val="left" w:pos="960"/>
        </w:tabs>
        <w:spacing w:after="240" w:line="240" w:lineRule="exact"/>
        <w:rPr>
          <w:b/>
          <w:bCs/>
          <w:szCs w:val="22"/>
          <w:lang w:val="es-419"/>
        </w:rPr>
      </w:pPr>
      <w:r>
        <w:rPr>
          <w:lang w:val="es-ES"/>
        </w:rPr>
        <w:t xml:space="preserve">Facilitar condiciones de predicciones y análisis del tiempo, entre ellos avisos en caso de fenómenos extremos, y preparar una breve descripción de los productos de los </w:t>
      </w:r>
      <w:r w:rsidR="00A95DEF">
        <w:rPr>
          <w:lang w:val="es-ES"/>
        </w:rPr>
        <w:t>CMRE</w:t>
      </w:r>
      <w:r>
        <w:rPr>
          <w:lang w:val="es-ES"/>
        </w:rPr>
        <w:t xml:space="preserve"> para ayudar a las autoridades nacionales competentes en sus procesos de decisión y respuesta.</w:t>
      </w:r>
    </w:p>
    <w:p w14:paraId="3D8BF112" w14:textId="10647754" w:rsidR="003E5D1B" w:rsidRPr="008357EA" w:rsidRDefault="00E26782">
      <w:pPr>
        <w:spacing w:after="240" w:line="276" w:lineRule="auto"/>
        <w:rPr>
          <w:rFonts w:eastAsia="Calibri" w:cs="Times New Roman"/>
          <w:i/>
          <w:iCs/>
          <w:lang w:val="es-419"/>
        </w:rPr>
      </w:pPr>
      <w:r>
        <w:rPr>
          <w:i/>
          <w:iCs/>
          <w:lang w:val="es-ES"/>
        </w:rPr>
        <w:t>2.3.2.8.4.</w:t>
      </w:r>
      <w:r>
        <w:rPr>
          <w:lang w:val="es-ES"/>
        </w:rPr>
        <w:t xml:space="preserve"> </w:t>
      </w:r>
      <w:r w:rsidR="00947A8C" w:rsidRPr="00947A8C">
        <w:rPr>
          <w:i/>
          <w:iCs/>
          <w:lang w:val="es-ES"/>
        </w:rPr>
        <w:t>Mecanismo de retroinformación sobre la utilidad y exactitud de los productos</w:t>
      </w:r>
    </w:p>
    <w:p w14:paraId="3CAC04EC" w14:textId="20305461" w:rsidR="003E5D1B" w:rsidRPr="008357EA" w:rsidRDefault="00E26782">
      <w:pPr>
        <w:rPr>
          <w:lang w:val="es-419"/>
        </w:rPr>
      </w:pPr>
      <w:r>
        <w:rPr>
          <w:lang w:val="es-ES"/>
        </w:rPr>
        <w:t xml:space="preserve">Se anima a los </w:t>
      </w:r>
      <w:r w:rsidR="006753E1">
        <w:rPr>
          <w:lang w:val="es-ES"/>
        </w:rPr>
        <w:t>CMN</w:t>
      </w:r>
      <w:r>
        <w:rPr>
          <w:lang w:val="es-ES"/>
        </w:rPr>
        <w:t xml:space="preserve"> a brindar retroinformación a los </w:t>
      </w:r>
      <w:r w:rsidR="00A95DEF">
        <w:rPr>
          <w:lang w:val="es-ES"/>
        </w:rPr>
        <w:t>CMRE</w:t>
      </w:r>
      <w:r>
        <w:rPr>
          <w:lang w:val="es-ES"/>
        </w:rPr>
        <w:t xml:space="preserve"> sobre las simulaciones y los productos conexos que estos proporcionan. Para ello, pueden utilizarse diversos ejercicios existentes programados.</w:t>
      </w:r>
    </w:p>
    <w:p w14:paraId="2E45B338" w14:textId="56260D52" w:rsidR="003E5D1B" w:rsidRPr="008357EA" w:rsidRDefault="00E26782">
      <w:pPr>
        <w:keepNext/>
        <w:spacing w:before="240" w:after="240" w:line="240" w:lineRule="exact"/>
        <w:ind w:left="1123" w:hanging="1123"/>
        <w:outlineLvl w:val="5"/>
        <w:rPr>
          <w:rFonts w:eastAsiaTheme="minorEastAsia" w:cstheme="majorBidi"/>
          <w:b/>
          <w:bCs/>
          <w:i/>
          <w:iCs/>
          <w:color w:val="000000" w:themeColor="text1"/>
          <w:lang w:val="es-419"/>
        </w:rPr>
      </w:pPr>
      <w:bookmarkStart w:id="174" w:name="_Toc113003332"/>
      <w:bookmarkStart w:id="175" w:name="_Toc113024457"/>
      <w:bookmarkStart w:id="176" w:name="_Toc117501988"/>
      <w:r>
        <w:rPr>
          <w:b/>
          <w:bCs/>
          <w:i/>
          <w:iCs/>
          <w:lang w:val="es-ES"/>
        </w:rPr>
        <w:t>2.3.2.9</w:t>
      </w:r>
      <w:r>
        <w:rPr>
          <w:lang w:val="es-ES"/>
        </w:rPr>
        <w:t xml:space="preserve"> </w:t>
      </w:r>
      <w:r w:rsidRPr="009B2BB6">
        <w:rPr>
          <w:b/>
          <w:bCs/>
          <w:lang w:val="es-ES"/>
        </w:rPr>
        <w:t>Predicciones de tormentas de arena y polvo atmosféricos</w:t>
      </w:r>
      <w:r>
        <w:rPr>
          <w:lang w:val="es-ES"/>
        </w:rPr>
        <w:t xml:space="preserve"> </w:t>
      </w:r>
      <w:bookmarkEnd w:id="174"/>
      <w:bookmarkEnd w:id="175"/>
      <w:bookmarkEnd w:id="176"/>
    </w:p>
    <w:p w14:paraId="42F92AE2" w14:textId="088DB3D6" w:rsidR="003E5D1B" w:rsidRPr="008357EA" w:rsidRDefault="00E26782">
      <w:pPr>
        <w:spacing w:before="240" w:after="240"/>
        <w:rPr>
          <w:rFonts w:eastAsia="Verdana" w:cs="Verdana"/>
          <w:lang w:val="es-419"/>
        </w:rPr>
      </w:pPr>
      <w:r>
        <w:rPr>
          <w:lang w:val="es-ES"/>
        </w:rPr>
        <w:t xml:space="preserve">2.3.2.9.1. </w:t>
      </w:r>
      <w:r w:rsidR="00947A8C" w:rsidRPr="00947A8C">
        <w:rPr>
          <w:i/>
          <w:iCs/>
          <w:lang w:val="es-ES"/>
        </w:rPr>
        <w:t>Resumen general de la actividad de los CMRE</w:t>
      </w:r>
      <w:r w:rsidR="00947A8C">
        <w:rPr>
          <w:lang w:val="es-ES"/>
        </w:rPr>
        <w:t xml:space="preserve"> </w:t>
      </w:r>
    </w:p>
    <w:p w14:paraId="6BEEFB23" w14:textId="1ECE990B" w:rsidR="003E5D1B" w:rsidRPr="008357EA" w:rsidRDefault="00E60F37">
      <w:pPr>
        <w:spacing w:before="240" w:after="240"/>
        <w:rPr>
          <w:rFonts w:eastAsia="Verdana" w:cs="Verdana"/>
          <w:lang w:val="es-419"/>
        </w:rPr>
      </w:pPr>
      <w:r>
        <w:rPr>
          <w:lang w:val="es-ES"/>
        </w:rPr>
        <w:t xml:space="preserve">En la Asamblea General de las Naciones Unidas y en los Congresos Meteorológicos Mundiales se ha reconocido que las tormentas de polvo y arena constituyen peligros graves que pueden afectar al tiempo, el clima, el medio ambiente, la salud y la economía en muchas partes del mundo. A fin de combatir esos peligros, es necesario prestar servicios de predicción operativa, asesoramiento </w:t>
      </w:r>
      <w:r w:rsidR="00787F8B">
        <w:rPr>
          <w:lang w:val="es-ES"/>
        </w:rPr>
        <w:t>sobre</w:t>
      </w:r>
      <w:r>
        <w:rPr>
          <w:lang w:val="es-ES"/>
        </w:rPr>
        <w:t xml:space="preserve"> avisos y evaluación de información </w:t>
      </w:r>
      <w:r w:rsidR="00787F8B">
        <w:rPr>
          <w:lang w:val="es-ES"/>
        </w:rPr>
        <w:t>relativos a las</w:t>
      </w:r>
      <w:r>
        <w:rPr>
          <w:lang w:val="es-ES"/>
        </w:rPr>
        <w:t xml:space="preserve"> tormentas de polvo y arena en diversas regiones del mundo, de manera coordinada y armonizada a nivel mundial, y de una forma que se adapte a las necesidades de la población. Desde 2004, y a petición de más de 40 países, la OMM ha tomado la iniciativa en ese ámbito y ha establecido el Sistema de Evaluación y Asesoramiento para Avisos de Tormentas de Arena y Polvo (SDS-WAS, </w:t>
      </w:r>
      <w:hyperlink r:id="rId51" w:history="1">
        <w:r w:rsidR="00787F8B" w:rsidRPr="00716D00">
          <w:rPr>
            <w:rStyle w:val="Hyperlink"/>
            <w:lang w:val="es-ES"/>
          </w:rPr>
          <w:t>https://public.wmo.int/en/our-mandate/focus-areas/environment/sand-and-dust-storms</w:t>
        </w:r>
      </w:hyperlink>
      <w:r>
        <w:rPr>
          <w:lang w:val="es-ES"/>
        </w:rPr>
        <w:t>)</w:t>
      </w:r>
      <w:r w:rsidR="00787F8B">
        <w:rPr>
          <w:lang w:val="es-ES"/>
        </w:rPr>
        <w:t xml:space="preserve"> </w:t>
      </w:r>
      <w:r>
        <w:rPr>
          <w:lang w:val="es-ES"/>
        </w:rPr>
        <w:t xml:space="preserve">con el fin de crear, perfeccionar y </w:t>
      </w:r>
      <w:r w:rsidR="00787F8B">
        <w:rPr>
          <w:lang w:val="es-ES"/>
        </w:rPr>
        <w:t>facilitar</w:t>
      </w:r>
      <w:r>
        <w:rPr>
          <w:lang w:val="es-ES"/>
        </w:rPr>
        <w:t xml:space="preserve"> una base para distribuir a la comunidad mundial productos que puedan utilizarse </w:t>
      </w:r>
      <w:r w:rsidR="00787F8B">
        <w:rPr>
          <w:lang w:val="es-ES"/>
        </w:rPr>
        <w:t>a los efectos de</w:t>
      </w:r>
      <w:r>
        <w:rPr>
          <w:lang w:val="es-ES"/>
        </w:rPr>
        <w:t xml:space="preserve"> reducir los efectos perniciosos de las tormentas de polvo y arena, y para evaluar los efectos que estas tienen en la sociedad y en el medio ambiente. Como parte de la puesta en práctica del SDS-WAS, se crearon el Comité Director del Sistema de Evaluación y Asesoramiento para Avisos de Tormentas de Arena y Polvo, que tiene alcance mundial, así como nodos regionales, con el objeto de facilitar la investigación y el acceso de los usuarios, en particular de los SMHN, a los productos de observación, evaluación y predicción</w:t>
      </w:r>
      <w:r w:rsidR="0078369F">
        <w:rPr>
          <w:lang w:val="es-ES"/>
        </w:rPr>
        <w:t>, y con el fin de contribuir a potenciar la creación de capacidades</w:t>
      </w:r>
      <w:r>
        <w:rPr>
          <w:lang w:val="es-ES"/>
        </w:rPr>
        <w:t xml:space="preserve">. </w:t>
      </w:r>
      <w:bookmarkStart w:id="177" w:name="_Int_biHD46Iy"/>
      <w:bookmarkEnd w:id="177"/>
    </w:p>
    <w:p w14:paraId="4A256227" w14:textId="289A9771" w:rsidR="003E5D1B" w:rsidRPr="008357EA" w:rsidRDefault="00E26782">
      <w:pPr>
        <w:spacing w:before="240" w:after="240"/>
        <w:rPr>
          <w:rFonts w:eastAsia="Verdana" w:cs="Verdana"/>
          <w:lang w:val="es-419"/>
        </w:rPr>
      </w:pPr>
      <w:r>
        <w:rPr>
          <w:lang w:val="es-ES"/>
        </w:rPr>
        <w:t xml:space="preserve">En vista de la demanda de muchos servicios meteorológicos nacionales y de los buenos resultados obtenidos por los nodos regionales del SDS-WAS, que demuestran la viabilidad y la necesidad de empezar a crear servicios operativos </w:t>
      </w:r>
      <w:r w:rsidR="006B0C4A">
        <w:rPr>
          <w:lang w:val="es-ES"/>
        </w:rPr>
        <w:t>que excedan el</w:t>
      </w:r>
      <w:r>
        <w:rPr>
          <w:lang w:val="es-ES"/>
        </w:rPr>
        <w:t xml:space="preserve"> ámbito de la investigación y el desarrollo, </w:t>
      </w:r>
      <w:r w:rsidR="006B0C4A">
        <w:rPr>
          <w:lang w:val="es-ES"/>
        </w:rPr>
        <w:t>en la 65ª reunión d</w:t>
      </w:r>
      <w:r>
        <w:rPr>
          <w:lang w:val="es-ES"/>
        </w:rPr>
        <w:t>el Consejo Ejecutivo de la OMM</w:t>
      </w:r>
      <w:r w:rsidR="006B0C4A">
        <w:rPr>
          <w:lang w:val="es-ES"/>
        </w:rPr>
        <w:t xml:space="preserve"> </w:t>
      </w:r>
      <w:r>
        <w:rPr>
          <w:lang w:val="es-ES"/>
        </w:rPr>
        <w:t>(</w:t>
      </w:r>
      <w:r w:rsidR="005A15CA">
        <w:rPr>
          <w:lang w:val="es-ES"/>
        </w:rPr>
        <w:t>EC</w:t>
      </w:r>
      <w:r w:rsidR="005A15CA">
        <w:rPr>
          <w:lang w:val="es-ES"/>
        </w:rPr>
        <w:noBreakHyphen/>
      </w:r>
      <w:r>
        <w:rPr>
          <w:lang w:val="es-ES"/>
        </w:rPr>
        <w:t>65)</w:t>
      </w:r>
      <w:r w:rsidR="006B0C4A">
        <w:rPr>
          <w:lang w:val="es-ES"/>
        </w:rPr>
        <w:t xml:space="preserve"> se aprobaron </w:t>
      </w:r>
      <w:r>
        <w:rPr>
          <w:lang w:val="es-ES"/>
        </w:rPr>
        <w:t xml:space="preserve">los criterios de designación para crear </w:t>
      </w:r>
      <w:r w:rsidR="00A95DEF">
        <w:rPr>
          <w:lang w:val="es-ES"/>
        </w:rPr>
        <w:t>CMRE</w:t>
      </w:r>
      <w:r>
        <w:rPr>
          <w:lang w:val="es-ES"/>
        </w:rPr>
        <w:t xml:space="preserve"> que se dedicaran a la predicción de tormentas de arena y polvo atmosféricos. </w:t>
      </w:r>
    </w:p>
    <w:p w14:paraId="17335680" w14:textId="33998B0E" w:rsidR="003E5D1B" w:rsidRPr="008357EA" w:rsidRDefault="00E26782">
      <w:pPr>
        <w:spacing w:before="240" w:after="240"/>
        <w:rPr>
          <w:rFonts w:eastAsia="Verdana" w:cs="Verdana"/>
          <w:lang w:val="es-419"/>
        </w:rPr>
      </w:pPr>
      <w:r>
        <w:rPr>
          <w:lang w:val="es-ES"/>
        </w:rPr>
        <w:t xml:space="preserve">Los </w:t>
      </w:r>
      <w:r w:rsidR="00A95DEF">
        <w:rPr>
          <w:lang w:val="es-ES"/>
        </w:rPr>
        <w:t>CMRE</w:t>
      </w:r>
      <w:r>
        <w:rPr>
          <w:lang w:val="es-ES"/>
        </w:rPr>
        <w:t xml:space="preserve"> que se dedican a la predicción de tormentas de arena y polvo atmosféricos son responsables de crear, desarrollar y mantener un portal web </w:t>
      </w:r>
      <w:r w:rsidR="00FA503E">
        <w:rPr>
          <w:lang w:val="es-ES"/>
        </w:rPr>
        <w:t>destinado a</w:t>
      </w:r>
      <w:r>
        <w:rPr>
          <w:lang w:val="es-ES"/>
        </w:rPr>
        <w:t xml:space="preserve"> mostrar los productos de predicción </w:t>
      </w:r>
      <w:r w:rsidR="00FA503E">
        <w:rPr>
          <w:lang w:val="es-ES"/>
        </w:rPr>
        <w:t>e</w:t>
      </w:r>
      <w:r>
        <w:rPr>
          <w:lang w:val="es-ES"/>
        </w:rPr>
        <w:t xml:space="preserve"> información adicional</w:t>
      </w:r>
      <w:r w:rsidR="00FA503E">
        <w:rPr>
          <w:lang w:val="es-ES"/>
        </w:rPr>
        <w:t>; el portal debe incluir</w:t>
      </w:r>
      <w:r>
        <w:rPr>
          <w:lang w:val="es-ES"/>
        </w:rPr>
        <w:t xml:space="preserve"> un sistema para recabar </w:t>
      </w:r>
      <w:r>
        <w:rPr>
          <w:lang w:val="es-ES"/>
        </w:rPr>
        <w:lastRenderedPageBreak/>
        <w:t xml:space="preserve">retroinformación de los usuarios. </w:t>
      </w:r>
      <w:r w:rsidR="00674C66">
        <w:rPr>
          <w:lang w:val="es-ES"/>
        </w:rPr>
        <w:t>Los</w:t>
      </w:r>
      <w:r w:rsidR="00FA503E">
        <w:rPr>
          <w:lang w:val="es-ES"/>
        </w:rPr>
        <w:t xml:space="preserve"> CMRE también</w:t>
      </w:r>
      <w:r>
        <w:rPr>
          <w:lang w:val="es-ES"/>
        </w:rPr>
        <w:t xml:space="preserve"> se encargan de </w:t>
      </w:r>
      <w:r w:rsidR="00674C66">
        <w:rPr>
          <w:lang w:val="es-ES"/>
        </w:rPr>
        <w:t>facilitar</w:t>
      </w:r>
      <w:r>
        <w:rPr>
          <w:lang w:val="es-ES"/>
        </w:rPr>
        <w:t xml:space="preserve"> esos productos en el </w:t>
      </w:r>
      <w:r w:rsidR="001C5219">
        <w:rPr>
          <w:lang w:val="es-ES"/>
        </w:rPr>
        <w:t>WIS</w:t>
      </w:r>
      <w:r>
        <w:rPr>
          <w:lang w:val="es-ES"/>
        </w:rPr>
        <w:t xml:space="preserve">. El objetivo es que esos </w:t>
      </w:r>
      <w:r w:rsidR="00A95DEF">
        <w:rPr>
          <w:lang w:val="es-ES"/>
        </w:rPr>
        <w:t>CMRE</w:t>
      </w:r>
      <w:r>
        <w:rPr>
          <w:lang w:val="es-ES"/>
        </w:rPr>
        <w:t xml:space="preserve"> proporcionen orientación sobre el riesgo de que </w:t>
      </w:r>
      <w:r w:rsidR="00674C66">
        <w:rPr>
          <w:lang w:val="es-ES"/>
        </w:rPr>
        <w:t>se presenten</w:t>
      </w:r>
      <w:r>
        <w:rPr>
          <w:lang w:val="es-ES"/>
        </w:rPr>
        <w:t xml:space="preserve"> tormentas de arena y polvo en un área geográfica determinada que sea de su competencia, y que ayuden a los SMHN pertinentes a mejorar los servicios de aviso que prestan a las autoridades nacionales.</w:t>
      </w:r>
    </w:p>
    <w:p w14:paraId="278A284B" w14:textId="09309BDF" w:rsidR="003E5D1B" w:rsidRPr="008357EA" w:rsidRDefault="00E26782">
      <w:pPr>
        <w:spacing w:before="240" w:after="240"/>
        <w:rPr>
          <w:rFonts w:eastAsia="Verdana" w:cs="Verdana"/>
          <w:lang w:val="es-419"/>
        </w:rPr>
      </w:pPr>
      <w:r>
        <w:rPr>
          <w:lang w:val="es-ES"/>
        </w:rPr>
        <w:t xml:space="preserve">i) </w:t>
      </w:r>
      <w:r w:rsidR="00947A8C" w:rsidRPr="00947A8C">
        <w:rPr>
          <w:i/>
          <w:iCs/>
          <w:lang w:val="es-ES"/>
        </w:rPr>
        <w:t>Centros designados y modalidad de trabajo</w:t>
      </w:r>
    </w:p>
    <w:p w14:paraId="7A389D22" w14:textId="2C85D38B" w:rsidR="003E5D1B" w:rsidRPr="008357EA" w:rsidRDefault="00E26782">
      <w:pPr>
        <w:spacing w:before="240" w:after="240"/>
        <w:rPr>
          <w:rFonts w:eastAsia="Verdana" w:cs="Verdana"/>
          <w:lang w:val="es-419"/>
        </w:rPr>
      </w:pPr>
      <w:r>
        <w:rPr>
          <w:lang w:val="es-ES"/>
        </w:rPr>
        <w:t xml:space="preserve">Los nodos o instituciones que han alcanzado un nivel elevado de madurez en la predicción del polvo, que están interesados en proporcionar predicciones operativas relativas a la arena y el polvo y que se dedican a esa actividad han sido designados como </w:t>
      </w:r>
      <w:r w:rsidR="00A95DEF">
        <w:rPr>
          <w:lang w:val="es-ES"/>
        </w:rPr>
        <w:t>CMRE</w:t>
      </w:r>
      <w:r>
        <w:rPr>
          <w:lang w:val="es-ES"/>
        </w:rPr>
        <w:t xml:space="preserve"> dedicados a la predicción de tormentas de arena y polvo atmosféricos. La lista de </w:t>
      </w:r>
      <w:r w:rsidR="009E1C78">
        <w:rPr>
          <w:lang w:val="es-ES"/>
        </w:rPr>
        <w:t>esos</w:t>
      </w:r>
      <w:r>
        <w:rPr>
          <w:lang w:val="es-ES"/>
        </w:rPr>
        <w:t xml:space="preserve"> </w:t>
      </w:r>
      <w:r w:rsidR="00A95DEF">
        <w:rPr>
          <w:lang w:val="es-ES"/>
        </w:rPr>
        <w:t>CMRE</w:t>
      </w:r>
      <w:r>
        <w:rPr>
          <w:lang w:val="es-ES"/>
        </w:rPr>
        <w:t xml:space="preserve"> figura en la parte III del </w:t>
      </w:r>
      <w:r w:rsidR="002D6434" w:rsidRPr="002D6434">
        <w:rPr>
          <w:i/>
          <w:iCs/>
          <w:lang w:val="es-ES"/>
        </w:rPr>
        <w:t>Manual del Sistema Mundial de Proceso de Datos y de Predicción</w:t>
      </w:r>
      <w:r w:rsidR="008357EA">
        <w:rPr>
          <w:lang w:val="es-ES"/>
        </w:rPr>
        <w:t xml:space="preserve"> (</w:t>
      </w:r>
      <w:r w:rsidR="00EB4587">
        <w:rPr>
          <w:lang w:val="es-ES"/>
        </w:rPr>
        <w:t>OMM</w:t>
      </w:r>
      <w:r w:rsidR="00EB4587">
        <w:rPr>
          <w:lang w:val="es-ES"/>
        </w:rPr>
        <w:noBreakHyphen/>
        <w:t>Nº</w:t>
      </w:r>
      <w:r w:rsidR="0093047C">
        <w:rPr>
          <w:lang w:val="es-ES"/>
        </w:rPr>
        <w:t> </w:t>
      </w:r>
      <w:r w:rsidR="008357EA" w:rsidRPr="009E1C78">
        <w:rPr>
          <w:lang w:val="es-ES"/>
        </w:rPr>
        <w:t>485</w:t>
      </w:r>
      <w:r w:rsidR="008357EA">
        <w:rPr>
          <w:lang w:val="es-ES"/>
        </w:rPr>
        <w:t>).</w:t>
      </w:r>
      <w:r>
        <w:rPr>
          <w:lang w:val="es-ES"/>
        </w:rPr>
        <w:t xml:space="preserve"> </w:t>
      </w:r>
    </w:p>
    <w:p w14:paraId="68F12406" w14:textId="07DFBB62" w:rsidR="003E5D1B" w:rsidRPr="008357EA" w:rsidRDefault="00E26782">
      <w:pPr>
        <w:spacing w:before="240" w:after="240"/>
        <w:rPr>
          <w:rFonts w:eastAsia="Verdana" w:cs="Verdana"/>
          <w:lang w:val="es-419"/>
        </w:rPr>
      </w:pPr>
      <w:r>
        <w:rPr>
          <w:lang w:val="es-ES"/>
        </w:rPr>
        <w:t xml:space="preserve">Cada uno de los </w:t>
      </w:r>
      <w:r w:rsidR="00A95DEF">
        <w:rPr>
          <w:lang w:val="es-ES"/>
        </w:rPr>
        <w:t>CMRE</w:t>
      </w:r>
      <w:r>
        <w:rPr>
          <w:lang w:val="es-ES"/>
        </w:rPr>
        <w:t xml:space="preserve"> proporciona datos y productos con cobertura regional correspondiente a la zona que abarca el nodo que le corresponde. Aunque en el GDPFS no hay ningún mecanismo destinado a coordinar las actividades de los </w:t>
      </w:r>
      <w:r w:rsidR="00A95DEF">
        <w:rPr>
          <w:lang w:val="es-ES"/>
        </w:rPr>
        <w:t>CMRE</w:t>
      </w:r>
      <w:r>
        <w:rPr>
          <w:lang w:val="es-ES"/>
        </w:rPr>
        <w:t xml:space="preserve"> que predicen las tormentas de arena y polvo atmosféricos, la coordinación mundial de los nodos regionales se realiza en el marco del Comité Director del SDS-WAS. La guía del usuario y los resultados de la verificación están disponibles en los sitios web de los </w:t>
      </w:r>
      <w:r w:rsidR="00A95DEF">
        <w:rPr>
          <w:lang w:val="es-ES"/>
        </w:rPr>
        <w:t>CMRE</w:t>
      </w:r>
      <w:r>
        <w:rPr>
          <w:lang w:val="es-ES"/>
        </w:rPr>
        <w:t>.</w:t>
      </w:r>
    </w:p>
    <w:p w14:paraId="05FFF1FE" w14:textId="654EA382" w:rsidR="003E5D1B" w:rsidRPr="008357EA" w:rsidRDefault="00E26782">
      <w:pPr>
        <w:spacing w:before="240" w:after="240"/>
        <w:rPr>
          <w:rFonts w:eastAsia="Verdana" w:cs="Verdana"/>
          <w:lang w:val="es-419"/>
        </w:rPr>
      </w:pPr>
      <w:r>
        <w:rPr>
          <w:lang w:val="es-ES"/>
        </w:rPr>
        <w:t xml:space="preserve">ii) </w:t>
      </w:r>
      <w:r w:rsidR="009E1C78" w:rsidRPr="009E1C78">
        <w:rPr>
          <w:i/>
          <w:iCs/>
          <w:lang w:val="es-ES"/>
        </w:rPr>
        <w:t>Qué beneficios pueden obtener los SMHN de los CMRE y cómo pueden contribuir con ellos</w:t>
      </w:r>
      <w:r>
        <w:rPr>
          <w:lang w:val="es-ES"/>
        </w:rPr>
        <w:t xml:space="preserve"> </w:t>
      </w:r>
    </w:p>
    <w:p w14:paraId="46F361C2" w14:textId="09926253" w:rsidR="003E5D1B" w:rsidRPr="008357EA" w:rsidRDefault="00E26782">
      <w:pPr>
        <w:spacing w:before="240" w:after="240"/>
        <w:rPr>
          <w:rFonts w:eastAsia="Verdana" w:cs="Verdana"/>
          <w:lang w:val="es-419"/>
        </w:rPr>
      </w:pPr>
      <w:r>
        <w:rPr>
          <w:lang w:val="es-ES"/>
        </w:rPr>
        <w:t xml:space="preserve">Los SMHN pueden utilizar el WIS y los portales web de los </w:t>
      </w:r>
      <w:r w:rsidR="00A95DEF">
        <w:rPr>
          <w:lang w:val="es-ES"/>
        </w:rPr>
        <w:t>CMRE</w:t>
      </w:r>
      <w:r>
        <w:rPr>
          <w:lang w:val="es-ES"/>
        </w:rPr>
        <w:t xml:space="preserve"> para acceder a los datos y productos de predicción de tormentas de arena y polvo atmosféricos que estos facilitan. Los metadatos del </w:t>
      </w:r>
      <w:r w:rsidR="001C5219">
        <w:rPr>
          <w:lang w:val="es-ES"/>
        </w:rPr>
        <w:t>WIS</w:t>
      </w:r>
      <w:r>
        <w:rPr>
          <w:lang w:val="es-ES"/>
        </w:rPr>
        <w:t xml:space="preserve"> asociados a cada archivo de datos y productos se obtienen en el </w:t>
      </w:r>
      <w:hyperlink r:id="rId52" w:history="1">
        <w:r w:rsidR="00464890" w:rsidRPr="00464890">
          <w:rPr>
            <w:rStyle w:val="Hyperlink"/>
            <w:lang w:val="es-ES"/>
          </w:rPr>
          <w:t>portal web del GDPFS</w:t>
        </w:r>
      </w:hyperlink>
      <w:r>
        <w:rPr>
          <w:lang w:val="es-ES"/>
        </w:rPr>
        <w:t xml:space="preserve"> seleccionando las predicciones de tormentas de arena y polvo atmosféricos en la lista de actividades. </w:t>
      </w:r>
    </w:p>
    <w:p w14:paraId="01FA2A12" w14:textId="0E2477F1" w:rsidR="003E5D1B" w:rsidRPr="008357EA" w:rsidRDefault="00E26782">
      <w:pPr>
        <w:spacing w:before="240" w:after="240"/>
        <w:rPr>
          <w:rFonts w:eastAsia="Verdana" w:cs="Verdana"/>
          <w:lang w:val="es-419"/>
        </w:rPr>
      </w:pPr>
      <w:r>
        <w:rPr>
          <w:lang w:val="es-ES"/>
        </w:rPr>
        <w:t xml:space="preserve">Se anima a los SMHN a utilizar los datos y productos de los </w:t>
      </w:r>
      <w:r w:rsidR="00A95DEF">
        <w:rPr>
          <w:lang w:val="es-ES"/>
        </w:rPr>
        <w:t>CMRE</w:t>
      </w:r>
      <w:r>
        <w:rPr>
          <w:lang w:val="es-ES"/>
        </w:rPr>
        <w:t xml:space="preserve"> que se dedican a las predicciones de tormentas de arena y polvo atmosféricos, y a contribuir a las actividades de esos centros y del Comité Director del SDS-WAS y de los nodos o centros regionales de las siguientes maneras (enumeración no taxativa): a) verificando los datos y los productos de predicción de tormentas de arena y polvo atmosféricos y brindando retroinformación sobre el desempeño de estos en sus países; b) haciendo </w:t>
      </w:r>
      <w:r w:rsidR="000E0B5A">
        <w:rPr>
          <w:lang w:val="es-ES"/>
        </w:rPr>
        <w:t>estudios de caso</w:t>
      </w:r>
      <w:r>
        <w:rPr>
          <w:lang w:val="es-ES"/>
        </w:rPr>
        <w:t xml:space="preserve"> y compartiendo las conclusiones y recomendaciones con los </w:t>
      </w:r>
      <w:r w:rsidR="00A95DEF">
        <w:rPr>
          <w:lang w:val="es-ES"/>
        </w:rPr>
        <w:t>CMRE</w:t>
      </w:r>
      <w:r>
        <w:rPr>
          <w:lang w:val="es-ES"/>
        </w:rPr>
        <w:t xml:space="preserve">; c) </w:t>
      </w:r>
      <w:r w:rsidR="00F25D1A">
        <w:rPr>
          <w:lang w:val="es-ES"/>
        </w:rPr>
        <w:t>adaptando</w:t>
      </w:r>
      <w:r>
        <w:rPr>
          <w:lang w:val="es-ES"/>
        </w:rPr>
        <w:t xml:space="preserve"> su experiencia y el análisis de la información que proporcionan los </w:t>
      </w:r>
      <w:r w:rsidR="00A95DEF">
        <w:rPr>
          <w:lang w:val="es-ES"/>
        </w:rPr>
        <w:t>CMRE</w:t>
      </w:r>
      <w:r>
        <w:rPr>
          <w:lang w:val="es-ES"/>
        </w:rPr>
        <w:t xml:space="preserve"> que se dedican a las predicciones de tormentas de arena y polvo atmosféricos, y compartiendo </w:t>
      </w:r>
      <w:r w:rsidR="00F25D1A">
        <w:rPr>
          <w:lang w:val="es-ES"/>
        </w:rPr>
        <w:t>los</w:t>
      </w:r>
      <w:r>
        <w:rPr>
          <w:lang w:val="es-ES"/>
        </w:rPr>
        <w:t xml:space="preserve"> resultados; d) participando en las actividades de formación y desarrollo de capacidades organizadas en el contexto del SDS-WAS, y e) proporcionando otras observaciones de la calidad del aire en superficie obtenidas por ellos.</w:t>
      </w:r>
    </w:p>
    <w:p w14:paraId="752C98CD" w14:textId="51180B74" w:rsidR="003E5D1B" w:rsidRPr="008357EA" w:rsidRDefault="00E26782">
      <w:pPr>
        <w:spacing w:before="240" w:after="240"/>
        <w:rPr>
          <w:rFonts w:eastAsia="Verdana" w:cs="Verdana"/>
          <w:lang w:val="es-419"/>
        </w:rPr>
      </w:pPr>
      <w:r>
        <w:rPr>
          <w:lang w:val="es-ES"/>
        </w:rPr>
        <w:t xml:space="preserve">2.3.2.9.2. </w:t>
      </w:r>
      <w:r w:rsidR="00947A8C" w:rsidRPr="00947A8C">
        <w:rPr>
          <w:i/>
          <w:iCs/>
          <w:lang w:val="es-ES"/>
        </w:rPr>
        <w:t>Esferas de aplicación y servicio que los CMRE podrían respaldar</w:t>
      </w:r>
    </w:p>
    <w:p w14:paraId="4AEEED61" w14:textId="08673F96" w:rsidR="003E5D1B" w:rsidRPr="008357EA" w:rsidRDefault="00226D18">
      <w:pPr>
        <w:spacing w:before="240" w:after="240"/>
        <w:rPr>
          <w:rFonts w:eastAsia="Verdana" w:cs="Verdana"/>
          <w:lang w:val="es-419"/>
        </w:rPr>
      </w:pPr>
      <w:r>
        <w:rPr>
          <w:lang w:val="es-ES"/>
        </w:rPr>
        <w:t xml:space="preserve">Los productos que </w:t>
      </w:r>
      <w:r w:rsidR="00ED7316">
        <w:rPr>
          <w:lang w:val="es-ES"/>
        </w:rPr>
        <w:t>facilitan</w:t>
      </w:r>
      <w:r>
        <w:rPr>
          <w:lang w:val="es-ES"/>
        </w:rPr>
        <w:t xml:space="preserve"> los CMRE que realizan predicciones de tormentas de arena y polvo atmosféricos respaldan las siguientes esferas:</w:t>
      </w:r>
    </w:p>
    <w:p w14:paraId="4B158B36" w14:textId="77777777" w:rsidR="003E5D1B" w:rsidRPr="008357EA" w:rsidRDefault="00E26782">
      <w:pPr>
        <w:widowControl w:val="0"/>
        <w:numPr>
          <w:ilvl w:val="0"/>
          <w:numId w:val="30"/>
        </w:numPr>
        <w:tabs>
          <w:tab w:val="clear" w:pos="1134"/>
        </w:tabs>
        <w:spacing w:before="240" w:after="240"/>
        <w:rPr>
          <w:rFonts w:eastAsia="Verdana" w:cs="Verdana"/>
          <w:color w:val="000000" w:themeColor="text1"/>
          <w:lang w:val="es-419"/>
        </w:rPr>
      </w:pPr>
      <w:r>
        <w:rPr>
          <w:lang w:val="es-ES"/>
        </w:rPr>
        <w:t>Servicios públicos de predicción y advertencia meteorológica.</w:t>
      </w:r>
    </w:p>
    <w:p w14:paraId="148A82D1" w14:textId="77777777" w:rsidR="003E5D1B" w:rsidRPr="008357EA" w:rsidRDefault="00E26782">
      <w:pPr>
        <w:widowControl w:val="0"/>
        <w:numPr>
          <w:ilvl w:val="0"/>
          <w:numId w:val="30"/>
        </w:numPr>
        <w:tabs>
          <w:tab w:val="clear" w:pos="1134"/>
        </w:tabs>
        <w:spacing w:before="240" w:after="240"/>
        <w:rPr>
          <w:rFonts w:eastAsia="Verdana" w:cs="Verdana"/>
          <w:color w:val="000000" w:themeColor="text1"/>
          <w:lang w:val="es-419"/>
        </w:rPr>
      </w:pPr>
      <w:r>
        <w:rPr>
          <w:lang w:val="es-ES"/>
        </w:rPr>
        <w:t xml:space="preserve">Predicciones que tienen en cuenta los impactos y sistemas de alerta temprana de peligros múltiples. </w:t>
      </w:r>
    </w:p>
    <w:p w14:paraId="20C94A7E" w14:textId="7CC6879A" w:rsidR="003E5D1B" w:rsidRPr="008357EA" w:rsidRDefault="00E26782">
      <w:pPr>
        <w:widowControl w:val="0"/>
        <w:numPr>
          <w:ilvl w:val="0"/>
          <w:numId w:val="30"/>
        </w:numPr>
        <w:tabs>
          <w:tab w:val="clear" w:pos="1134"/>
        </w:tabs>
        <w:spacing w:before="240" w:after="240"/>
        <w:rPr>
          <w:rFonts w:eastAsia="Verdana" w:cs="Verdana"/>
          <w:color w:val="000000" w:themeColor="text1"/>
          <w:lang w:val="es-419"/>
        </w:rPr>
      </w:pPr>
      <w:r>
        <w:rPr>
          <w:lang w:val="es-ES"/>
        </w:rPr>
        <w:t xml:space="preserve">Servicios de </w:t>
      </w:r>
      <w:r w:rsidR="006753E1">
        <w:rPr>
          <w:lang w:val="es-ES"/>
        </w:rPr>
        <w:t>predicción</w:t>
      </w:r>
      <w:r>
        <w:rPr>
          <w:lang w:val="es-ES"/>
        </w:rPr>
        <w:t xml:space="preserve"> y advertencia dirigidos a los sectores de la salud, el clima, la energía, el transporte, la aeronáutica y la agricultura. </w:t>
      </w:r>
    </w:p>
    <w:p w14:paraId="653B90F3" w14:textId="759461FA" w:rsidR="003E5D1B" w:rsidRPr="008357EA" w:rsidRDefault="00E26782">
      <w:pPr>
        <w:spacing w:before="240" w:after="240"/>
        <w:rPr>
          <w:rFonts w:eastAsia="Verdana" w:cs="Verdana"/>
          <w:lang w:val="es-419"/>
        </w:rPr>
      </w:pPr>
      <w:r>
        <w:rPr>
          <w:lang w:val="es-ES"/>
        </w:rPr>
        <w:t xml:space="preserve">2.3.2.9.3. </w:t>
      </w:r>
      <w:r w:rsidR="008B0C15" w:rsidRPr="008B0C15">
        <w:rPr>
          <w:i/>
          <w:iCs/>
          <w:lang w:val="es-ES"/>
        </w:rPr>
        <w:t>Recomendaciones sobre la integración en el proceso nacional de predicción</w:t>
      </w:r>
    </w:p>
    <w:p w14:paraId="39349790" w14:textId="4189E53A" w:rsidR="003E5D1B" w:rsidRPr="008357EA" w:rsidRDefault="00E26782">
      <w:pPr>
        <w:spacing w:before="240" w:after="240"/>
        <w:rPr>
          <w:rFonts w:eastAsia="Verdana" w:cs="Verdana"/>
          <w:lang w:val="es-419"/>
        </w:rPr>
      </w:pPr>
      <w:r>
        <w:rPr>
          <w:lang w:val="es-ES"/>
        </w:rPr>
        <w:lastRenderedPageBreak/>
        <w:t xml:space="preserve">La modelización numérica es una de las fuentes más importantes de predicción del polvo. Los modelos de emisión, transporte y depósito de polvo se utilizan como herramienta para complementar las observaciones relativas </w:t>
      </w:r>
      <w:r w:rsidR="009C3855">
        <w:rPr>
          <w:lang w:val="es-ES"/>
        </w:rPr>
        <w:t>a este</w:t>
      </w:r>
      <w:r>
        <w:rPr>
          <w:lang w:val="es-ES"/>
        </w:rPr>
        <w:t xml:space="preserve"> y comprender </w:t>
      </w:r>
      <w:r w:rsidR="009C3855">
        <w:rPr>
          <w:lang w:val="es-ES"/>
        </w:rPr>
        <w:t>más a fondo</w:t>
      </w:r>
      <w:r>
        <w:rPr>
          <w:lang w:val="es-ES"/>
        </w:rPr>
        <w:t xml:space="preserve"> los aspectos que controlan la distribución de sus partículas y las consecuencias que </w:t>
      </w:r>
      <w:r w:rsidR="009C3855">
        <w:rPr>
          <w:lang w:val="es-ES"/>
        </w:rPr>
        <w:t>ellas</w:t>
      </w:r>
      <w:r>
        <w:rPr>
          <w:lang w:val="es-ES"/>
        </w:rPr>
        <w:t xml:space="preserve"> tienen. Los datos y productos de los </w:t>
      </w:r>
      <w:r w:rsidR="00A95DEF">
        <w:rPr>
          <w:lang w:val="es-ES"/>
        </w:rPr>
        <w:t>CMRE</w:t>
      </w:r>
      <w:r>
        <w:rPr>
          <w:lang w:val="es-ES"/>
        </w:rPr>
        <w:t xml:space="preserve"> que se dedican a las predicciones de tormentas de arena y polvo atmosféricos se crean utilizando modelos de simulación del polvo forzados </w:t>
      </w:r>
      <w:r w:rsidR="00816363">
        <w:rPr>
          <w:lang w:val="es-ES"/>
        </w:rPr>
        <w:t>con</w:t>
      </w:r>
      <w:r>
        <w:rPr>
          <w:lang w:val="es-ES"/>
        </w:rPr>
        <w:t xml:space="preserve"> datos obtenidos de observaciones y de diversas predicciones numéricas del tiempo determinísticas a escala mundial y regional. </w:t>
      </w:r>
    </w:p>
    <w:p w14:paraId="31A74E9F" w14:textId="45F7A7D0" w:rsidR="003E5D1B" w:rsidRPr="008357EA" w:rsidRDefault="00E26782">
      <w:pPr>
        <w:spacing w:before="240" w:after="240"/>
        <w:rPr>
          <w:rFonts w:eastAsia="Verdana" w:cs="Verdana"/>
          <w:lang w:val="es-419"/>
        </w:rPr>
      </w:pPr>
      <w:r>
        <w:rPr>
          <w:lang w:val="es-ES"/>
        </w:rPr>
        <w:t xml:space="preserve">En su calidad de actividad especializada, se recomienda aplicar los siguientes pasos para integrar los productos de los </w:t>
      </w:r>
      <w:r w:rsidR="00A95DEF">
        <w:rPr>
          <w:lang w:val="es-ES"/>
        </w:rPr>
        <w:t>CMRE</w:t>
      </w:r>
      <w:r>
        <w:rPr>
          <w:lang w:val="es-ES"/>
        </w:rPr>
        <w:t xml:space="preserve"> que hacen predicciones de tormentas de arena y polvo atmosféricos en el proceso nacional de predicción: </w:t>
      </w:r>
    </w:p>
    <w:p w14:paraId="7A800565" w14:textId="61A0B092" w:rsidR="003E5D1B" w:rsidRPr="008357EA" w:rsidRDefault="00E26782">
      <w:pPr>
        <w:widowControl w:val="0"/>
        <w:numPr>
          <w:ilvl w:val="0"/>
          <w:numId w:val="29"/>
        </w:numPr>
        <w:tabs>
          <w:tab w:val="clear" w:pos="1134"/>
        </w:tabs>
        <w:spacing w:before="240" w:after="240"/>
        <w:rPr>
          <w:rFonts w:eastAsia="Verdana" w:cs="Verdana"/>
          <w:color w:val="000000" w:themeColor="text1"/>
          <w:lang w:val="es-419"/>
        </w:rPr>
      </w:pPr>
      <w:r>
        <w:rPr>
          <w:lang w:val="es-ES"/>
        </w:rPr>
        <w:t xml:space="preserve">Examinar las condiciones meteorológicas, de visibilidad y de calidad del aire a escala local y regional utilizando tanto las observaciones locales como las que facilita el </w:t>
      </w:r>
      <w:r w:rsidR="00A95DEF">
        <w:rPr>
          <w:lang w:val="es-ES"/>
        </w:rPr>
        <w:t>CMRE</w:t>
      </w:r>
      <w:r>
        <w:rPr>
          <w:lang w:val="es-ES"/>
        </w:rPr>
        <w:t xml:space="preserve"> que hace predicciones de tormentas de arena y polvo atmosféricos.</w:t>
      </w:r>
    </w:p>
    <w:p w14:paraId="1C5BF984" w14:textId="3AB8666C" w:rsidR="003E5D1B" w:rsidRPr="008357EA" w:rsidRDefault="00E26782">
      <w:pPr>
        <w:widowControl w:val="0"/>
        <w:numPr>
          <w:ilvl w:val="0"/>
          <w:numId w:val="29"/>
        </w:numPr>
        <w:tabs>
          <w:tab w:val="clear" w:pos="1134"/>
        </w:tabs>
        <w:spacing w:before="240" w:after="240"/>
        <w:rPr>
          <w:rFonts w:eastAsia="Verdana" w:cs="Verdana"/>
          <w:color w:val="000000" w:themeColor="text1"/>
          <w:lang w:val="es-419"/>
        </w:rPr>
      </w:pPr>
      <w:r>
        <w:rPr>
          <w:lang w:val="es-ES"/>
        </w:rPr>
        <w:t xml:space="preserve">Examinar los resultados de los modelos de simulación del polvo utilizando los datos y productos del </w:t>
      </w:r>
      <w:r w:rsidR="00A95DEF">
        <w:rPr>
          <w:lang w:val="es-ES"/>
        </w:rPr>
        <w:t>CMRE</w:t>
      </w:r>
      <w:r>
        <w:rPr>
          <w:lang w:val="es-ES"/>
        </w:rPr>
        <w:t xml:space="preserve"> que hace predicciones de tormentas de arena y polvo atmosféricos.</w:t>
      </w:r>
    </w:p>
    <w:p w14:paraId="0F800051" w14:textId="77777777" w:rsidR="003E5D1B" w:rsidRPr="008357EA" w:rsidRDefault="00E26782">
      <w:pPr>
        <w:widowControl w:val="0"/>
        <w:numPr>
          <w:ilvl w:val="0"/>
          <w:numId w:val="29"/>
        </w:numPr>
        <w:tabs>
          <w:tab w:val="clear" w:pos="1134"/>
        </w:tabs>
        <w:spacing w:before="240" w:after="240"/>
        <w:rPr>
          <w:rFonts w:eastAsia="Verdana" w:cs="Verdana"/>
          <w:color w:val="000000" w:themeColor="text1"/>
          <w:lang w:val="es-419"/>
        </w:rPr>
      </w:pPr>
      <w:r>
        <w:rPr>
          <w:lang w:val="es-ES"/>
        </w:rPr>
        <w:t>Analizar el desempeño de los distintos modelos en la zona de interés sobre la base de distintas métricas de verificación.</w:t>
      </w:r>
    </w:p>
    <w:p w14:paraId="3C98E237" w14:textId="1D8EF3FD" w:rsidR="003E5D1B" w:rsidRPr="008357EA" w:rsidRDefault="00E26782">
      <w:pPr>
        <w:widowControl w:val="0"/>
        <w:numPr>
          <w:ilvl w:val="0"/>
          <w:numId w:val="29"/>
        </w:numPr>
        <w:tabs>
          <w:tab w:val="clear" w:pos="1134"/>
        </w:tabs>
        <w:spacing w:before="240" w:after="240"/>
        <w:rPr>
          <w:rFonts w:eastAsia="Verdana" w:cs="Verdana"/>
          <w:color w:val="000000" w:themeColor="text1"/>
          <w:lang w:val="es-419"/>
        </w:rPr>
      </w:pPr>
      <w:r>
        <w:rPr>
          <w:lang w:val="es-ES"/>
        </w:rPr>
        <w:t xml:space="preserve">Preparar una breve descripción basada en el examen y el análisis anteriores de los productos del </w:t>
      </w:r>
      <w:r w:rsidR="00A95DEF">
        <w:rPr>
          <w:lang w:val="es-ES"/>
        </w:rPr>
        <w:t>CMRE</w:t>
      </w:r>
      <w:r>
        <w:rPr>
          <w:lang w:val="es-ES"/>
        </w:rPr>
        <w:t xml:space="preserve"> que hace predicciones de tormentas de arena y polvo atmosféricos en relación con la zona de interés.</w:t>
      </w:r>
    </w:p>
    <w:p w14:paraId="502B3A10" w14:textId="77777777" w:rsidR="003E5D1B" w:rsidRPr="008357EA" w:rsidRDefault="00E26782">
      <w:pPr>
        <w:widowControl w:val="0"/>
        <w:numPr>
          <w:ilvl w:val="0"/>
          <w:numId w:val="29"/>
        </w:numPr>
        <w:tabs>
          <w:tab w:val="clear" w:pos="1134"/>
        </w:tabs>
        <w:spacing w:before="240" w:after="240"/>
        <w:rPr>
          <w:rFonts w:eastAsia="Verdana" w:cs="Verdana"/>
          <w:color w:val="000000" w:themeColor="text1"/>
          <w:lang w:val="es-419"/>
        </w:rPr>
      </w:pPr>
      <w:r>
        <w:rPr>
          <w:lang w:val="es-ES"/>
        </w:rPr>
        <w:t>Examinar de forma continua los productos de predicción, cotejarlos con las observaciones y actualizarlos si es necesario.</w:t>
      </w:r>
    </w:p>
    <w:p w14:paraId="255F48BD" w14:textId="0A4ABB0D" w:rsidR="003E5D1B" w:rsidRPr="008357EA" w:rsidRDefault="00E26782">
      <w:pPr>
        <w:spacing w:before="240" w:after="240"/>
        <w:rPr>
          <w:rFonts w:eastAsia="Verdana" w:cs="Verdana"/>
          <w:lang w:val="es-419"/>
        </w:rPr>
      </w:pPr>
      <w:r>
        <w:rPr>
          <w:lang w:val="es-ES"/>
        </w:rPr>
        <w:t>2.3.2.9.4</w:t>
      </w:r>
      <w:r w:rsidR="0038717F">
        <w:rPr>
          <w:lang w:val="es-ES"/>
        </w:rPr>
        <w:t xml:space="preserve">. </w:t>
      </w:r>
      <w:r w:rsidR="00947A8C" w:rsidRPr="00947A8C">
        <w:rPr>
          <w:i/>
          <w:iCs/>
          <w:lang w:val="es-ES"/>
        </w:rPr>
        <w:t>Mecanismo de retroinformación sobre la utilidad y exactitud de los productos</w:t>
      </w:r>
    </w:p>
    <w:p w14:paraId="537634BB" w14:textId="45692235" w:rsidR="003E5D1B" w:rsidRPr="008357EA" w:rsidRDefault="00E26782">
      <w:pPr>
        <w:spacing w:before="240" w:after="240"/>
        <w:rPr>
          <w:rFonts w:eastAsia="Verdana" w:cs="Verdana"/>
          <w:lang w:val="es-419"/>
        </w:rPr>
      </w:pPr>
      <w:r>
        <w:rPr>
          <w:lang w:val="es-ES"/>
        </w:rPr>
        <w:t xml:space="preserve">Se anima a los SMHN a verificar los datos y productos de las predicciones de tormentas de arena y polvo atmosféricos y a utilizar el mecanismo establecido en los sitios web de los </w:t>
      </w:r>
      <w:r w:rsidR="00A95DEF">
        <w:rPr>
          <w:lang w:val="es-ES"/>
        </w:rPr>
        <w:t>CMRE</w:t>
      </w:r>
      <w:r>
        <w:rPr>
          <w:lang w:val="es-ES"/>
        </w:rPr>
        <w:t xml:space="preserve"> para brindar retroinformación sobre la utilidad y la exactitud de esos productos. También se los anima a transmitir requisitos, necesidades de investigación y sugerencias </w:t>
      </w:r>
      <w:r w:rsidR="00275C8E">
        <w:rPr>
          <w:lang w:val="es-ES"/>
        </w:rPr>
        <w:t>sobre cómo</w:t>
      </w:r>
      <w:r>
        <w:rPr>
          <w:lang w:val="es-ES"/>
        </w:rPr>
        <w:t xml:space="preserve"> mejorar el sistema de predicción de los </w:t>
      </w:r>
      <w:r w:rsidR="00A95DEF">
        <w:rPr>
          <w:lang w:val="es-ES"/>
        </w:rPr>
        <w:t>CMRE</w:t>
      </w:r>
      <w:r w:rsidR="002C0824" w:rsidRPr="002C0824">
        <w:rPr>
          <w:lang w:val="es-ES"/>
        </w:rPr>
        <w:t xml:space="preserve"> </w:t>
      </w:r>
      <w:r w:rsidR="002C0824">
        <w:rPr>
          <w:lang w:val="es-ES"/>
        </w:rPr>
        <w:t>al Comité Director del SDS-WAS de la OMM y a sus nodos regionales</w:t>
      </w:r>
      <w:r>
        <w:rPr>
          <w:lang w:val="es-ES"/>
        </w:rPr>
        <w:t>.</w:t>
      </w:r>
    </w:p>
    <w:p w14:paraId="78D1BB01" w14:textId="6B7D2E4D" w:rsidR="003E5D1B" w:rsidRPr="008357EA" w:rsidRDefault="00E26782">
      <w:pPr>
        <w:keepNext/>
        <w:spacing w:before="240" w:after="240"/>
        <w:ind w:left="1123" w:hanging="1123"/>
        <w:outlineLvl w:val="5"/>
        <w:rPr>
          <w:rFonts w:eastAsiaTheme="minorEastAsia" w:cstheme="majorBidi"/>
          <w:b/>
          <w:bCs/>
          <w:i/>
          <w:iCs/>
          <w:color w:val="000000" w:themeColor="text1"/>
          <w:lang w:val="es-419"/>
        </w:rPr>
      </w:pPr>
      <w:bookmarkStart w:id="178" w:name="_Toc113003333"/>
      <w:bookmarkStart w:id="179" w:name="_Toc113024458"/>
      <w:bookmarkStart w:id="180" w:name="_Toc117501989"/>
      <w:r>
        <w:rPr>
          <w:b/>
          <w:bCs/>
          <w:i/>
          <w:iCs/>
          <w:lang w:val="es-ES"/>
        </w:rPr>
        <w:t>2.3.2.10</w:t>
      </w:r>
      <w:r>
        <w:rPr>
          <w:lang w:val="es-ES"/>
        </w:rPr>
        <w:t xml:space="preserve"> </w:t>
      </w:r>
      <w:r w:rsidRPr="00294BA4">
        <w:rPr>
          <w:b/>
          <w:bCs/>
          <w:lang w:val="es-ES"/>
        </w:rPr>
        <w:t>Servicios de vigilancia volcánica para la navegación aérea internacional</w:t>
      </w:r>
      <w:r>
        <w:rPr>
          <w:lang w:val="es-ES"/>
        </w:rPr>
        <w:t xml:space="preserve"> </w:t>
      </w:r>
      <w:bookmarkEnd w:id="178"/>
      <w:bookmarkEnd w:id="179"/>
      <w:bookmarkEnd w:id="180"/>
    </w:p>
    <w:p w14:paraId="210003BC" w14:textId="35FA0ED5" w:rsidR="003E5D1B" w:rsidRPr="008357EA" w:rsidRDefault="00E26782">
      <w:pPr>
        <w:spacing w:before="240" w:after="240"/>
        <w:rPr>
          <w:rFonts w:eastAsia="SimSun"/>
          <w:color w:val="000000" w:themeColor="text1"/>
          <w:lang w:val="es-419"/>
        </w:rPr>
      </w:pPr>
      <w:r>
        <w:rPr>
          <w:lang w:val="es-ES"/>
        </w:rPr>
        <w:t xml:space="preserve">No hay recomendaciones generales además de lo que se dispone en el punto 2.2.2.10 de la parte II del </w:t>
      </w:r>
      <w:r w:rsidR="00B36420" w:rsidRPr="00B36420">
        <w:rPr>
          <w:i/>
          <w:iCs/>
          <w:lang w:val="es-ES"/>
        </w:rPr>
        <w:t>Manual del GDPFS</w:t>
      </w:r>
      <w:r>
        <w:rPr>
          <w:lang w:val="es-ES"/>
        </w:rPr>
        <w:t>.</w:t>
      </w:r>
    </w:p>
    <w:p w14:paraId="189C0C34" w14:textId="72E2763A" w:rsidR="003E5D1B" w:rsidRPr="008357EA" w:rsidRDefault="00E26782">
      <w:pPr>
        <w:keepNext/>
        <w:spacing w:before="240" w:after="240"/>
        <w:ind w:left="1123" w:hanging="1123"/>
        <w:outlineLvl w:val="5"/>
        <w:rPr>
          <w:rFonts w:eastAsiaTheme="minorEastAsia" w:cstheme="majorBidi"/>
          <w:b/>
          <w:bCs/>
          <w:i/>
          <w:iCs/>
          <w:color w:val="000000" w:themeColor="text1"/>
          <w:lang w:val="es-419"/>
        </w:rPr>
      </w:pPr>
      <w:bookmarkStart w:id="181" w:name="_Toc113003334"/>
      <w:bookmarkStart w:id="182" w:name="_Toc113024459"/>
      <w:bookmarkStart w:id="183" w:name="_Toc117501990"/>
      <w:r>
        <w:rPr>
          <w:b/>
          <w:bCs/>
          <w:i/>
          <w:iCs/>
          <w:lang w:val="es-ES"/>
        </w:rPr>
        <w:t>2.3.2.11</w:t>
      </w:r>
      <w:r>
        <w:rPr>
          <w:lang w:val="es-ES"/>
        </w:rPr>
        <w:t xml:space="preserve"> </w:t>
      </w:r>
      <w:r w:rsidRPr="000E50B7">
        <w:rPr>
          <w:b/>
          <w:bCs/>
          <w:lang w:val="es-ES"/>
        </w:rPr>
        <w:t>Servicios meteorológicos marinos</w:t>
      </w:r>
      <w:r>
        <w:rPr>
          <w:lang w:val="es-ES"/>
        </w:rPr>
        <w:t xml:space="preserve"> </w:t>
      </w:r>
      <w:bookmarkEnd w:id="181"/>
      <w:bookmarkEnd w:id="182"/>
      <w:bookmarkEnd w:id="183"/>
    </w:p>
    <w:p w14:paraId="358CF69E" w14:textId="01780C97" w:rsidR="003E5D1B" w:rsidRPr="008357EA" w:rsidRDefault="00E26782">
      <w:pPr>
        <w:spacing w:before="240" w:after="240"/>
        <w:rPr>
          <w:rFonts w:eastAsia="Verdana" w:cs="Verdana"/>
          <w:color w:val="000000" w:themeColor="text1"/>
          <w:lang w:val="es-419"/>
        </w:rPr>
      </w:pPr>
      <w:r>
        <w:rPr>
          <w:lang w:val="es-ES"/>
        </w:rPr>
        <w:t xml:space="preserve">2.3.2.11.1. </w:t>
      </w:r>
      <w:r w:rsidR="00947A8C" w:rsidRPr="00947A8C">
        <w:rPr>
          <w:i/>
          <w:iCs/>
          <w:lang w:val="es-ES"/>
        </w:rPr>
        <w:t>Resumen general de la actividad de los CMRE</w:t>
      </w:r>
      <w:r w:rsidR="00947A8C">
        <w:rPr>
          <w:lang w:val="es-ES"/>
        </w:rPr>
        <w:t xml:space="preserve"> </w:t>
      </w:r>
    </w:p>
    <w:p w14:paraId="7BDDC910" w14:textId="56C9FAB5" w:rsidR="003E5D1B" w:rsidRPr="008357EA" w:rsidRDefault="00E26782">
      <w:pPr>
        <w:spacing w:before="240" w:after="240"/>
        <w:rPr>
          <w:rFonts w:eastAsia="Verdana" w:cs="Verdana"/>
          <w:color w:val="000000" w:themeColor="text1"/>
          <w:lang w:val="es-419"/>
        </w:rPr>
      </w:pPr>
      <w:r>
        <w:rPr>
          <w:lang w:val="es-ES"/>
        </w:rPr>
        <w:t xml:space="preserve">La OMM </w:t>
      </w:r>
      <w:r w:rsidR="00107719">
        <w:rPr>
          <w:lang w:val="es-ES"/>
        </w:rPr>
        <w:t xml:space="preserve">brinda </w:t>
      </w:r>
      <w:r>
        <w:rPr>
          <w:lang w:val="es-ES"/>
        </w:rPr>
        <w:t>apoy</w:t>
      </w:r>
      <w:r w:rsidR="00107719">
        <w:rPr>
          <w:lang w:val="es-ES"/>
        </w:rPr>
        <w:t>o a</w:t>
      </w:r>
      <w:r>
        <w:rPr>
          <w:lang w:val="es-ES"/>
        </w:rPr>
        <w:t xml:space="preserve">l Sistema Mundial de Socorro y Seguridad Marítimos (SMSSM) de la Organización Marítima Internacional (OMI) a través del Servicio Mundial de Información y Avisos Meteorológicos y Oceanográficos de la OMI y la OMM, que coordina la emisión de avisos meteorológicos y de predicciones de rutina programadas en 21 zonas oceánicas definidas que se denominan metáreas. Por medio de dicho Servicio, los SMHN proporcionan información de seguridad marítima relacionada con el tiempo en forma de productos de predicciones y avisos destinados a la navegación marítima. Los </w:t>
      </w:r>
      <w:r w:rsidR="00107719">
        <w:rPr>
          <w:lang w:val="es-ES"/>
        </w:rPr>
        <w:t>G</w:t>
      </w:r>
      <w:r>
        <w:rPr>
          <w:lang w:val="es-ES"/>
        </w:rPr>
        <w:t xml:space="preserve">obiernos asignan coordinadores de las metáreas para que coordinen el suministro de información de seguridad marítima en relación con cada una de ellas. </w:t>
      </w:r>
    </w:p>
    <w:p w14:paraId="06775776" w14:textId="2FBB0C87" w:rsidR="003E5D1B" w:rsidRPr="008357EA" w:rsidRDefault="00E26782">
      <w:pPr>
        <w:spacing w:before="240" w:after="240"/>
        <w:rPr>
          <w:rFonts w:eastAsia="Verdana" w:cs="Verdana"/>
          <w:color w:val="000000" w:themeColor="text1"/>
          <w:lang w:val="es-419"/>
        </w:rPr>
      </w:pPr>
      <w:r>
        <w:rPr>
          <w:lang w:val="es-ES"/>
        </w:rPr>
        <w:lastRenderedPageBreak/>
        <w:t xml:space="preserve">En la 69ª reunión del </w:t>
      </w:r>
      <w:r w:rsidR="00F81A61">
        <w:rPr>
          <w:lang w:val="es-ES"/>
        </w:rPr>
        <w:t>Consejo Ejecutivo</w:t>
      </w:r>
      <w:r>
        <w:rPr>
          <w:lang w:val="es-ES"/>
        </w:rPr>
        <w:t xml:space="preserve"> (2017) se establecieron los criterios para designar a los </w:t>
      </w:r>
      <w:r w:rsidR="00A95DEF">
        <w:rPr>
          <w:lang w:val="es-ES"/>
        </w:rPr>
        <w:t>CMRE</w:t>
      </w:r>
      <w:r>
        <w:rPr>
          <w:lang w:val="es-ES"/>
        </w:rPr>
        <w:t xml:space="preserve"> que prestan servicios meteorológicos marinos de conformidad con el papel de los coordinadores de las metáreas. Por consiguiente, los SMHN que se desempeñan como coordinadores de metárea han sido designados como </w:t>
      </w:r>
      <w:r w:rsidR="00A95DEF">
        <w:rPr>
          <w:lang w:val="es-ES"/>
        </w:rPr>
        <w:t>CMRE</w:t>
      </w:r>
      <w:r>
        <w:rPr>
          <w:lang w:val="es-ES"/>
        </w:rPr>
        <w:t xml:space="preserve"> que prestan servicios meteorológicos marinos. En el </w:t>
      </w:r>
      <w:hyperlink r:id="rId53" w:history="1">
        <w:r w:rsidR="00CA1DA5" w:rsidRPr="00644BA9">
          <w:rPr>
            <w:rStyle w:val="Hyperlink"/>
            <w:i/>
            <w:iCs/>
            <w:lang w:val="es-ES"/>
          </w:rPr>
          <w:t>Manual de servicios meteorológicos marinos</w:t>
        </w:r>
      </w:hyperlink>
      <w:r>
        <w:rPr>
          <w:lang w:val="es-ES"/>
        </w:rPr>
        <w:t xml:space="preserve"> (</w:t>
      </w:r>
      <w:r w:rsidR="00EB4587">
        <w:rPr>
          <w:lang w:val="es-ES"/>
        </w:rPr>
        <w:t>OMM</w:t>
      </w:r>
      <w:r w:rsidR="00EB4587">
        <w:rPr>
          <w:lang w:val="es-ES"/>
        </w:rPr>
        <w:noBreakHyphen/>
        <w:t>Nº</w:t>
      </w:r>
      <w:r w:rsidR="0093047C">
        <w:rPr>
          <w:lang w:val="es-ES"/>
        </w:rPr>
        <w:t> </w:t>
      </w:r>
      <w:r>
        <w:rPr>
          <w:lang w:val="es-ES"/>
        </w:rPr>
        <w:t xml:space="preserve">558), </w:t>
      </w:r>
      <w:r w:rsidR="00107719">
        <w:rPr>
          <w:lang w:val="es-ES"/>
        </w:rPr>
        <w:t>v</w:t>
      </w:r>
      <w:r>
        <w:rPr>
          <w:lang w:val="es-ES"/>
        </w:rPr>
        <w:t>olumen I, se describen las operaciones, entre ellas las prácticas, los procedimientos y las especificaciones.</w:t>
      </w:r>
    </w:p>
    <w:p w14:paraId="2B630C08" w14:textId="0FDC3DE2" w:rsidR="003E5D1B" w:rsidRPr="008357EA" w:rsidRDefault="00E26782">
      <w:pPr>
        <w:spacing w:before="240" w:after="240"/>
        <w:rPr>
          <w:rFonts w:eastAsia="Verdana" w:cs="Verdana"/>
          <w:color w:val="000000" w:themeColor="text1"/>
          <w:lang w:val="es-419"/>
        </w:rPr>
      </w:pPr>
      <w:r>
        <w:rPr>
          <w:lang w:val="es-ES"/>
        </w:rPr>
        <w:t xml:space="preserve">i) </w:t>
      </w:r>
      <w:r w:rsidR="00947A8C" w:rsidRPr="00947A8C">
        <w:rPr>
          <w:i/>
          <w:iCs/>
          <w:lang w:val="es-ES"/>
        </w:rPr>
        <w:t>Centros designados y modalidad de trabajo</w:t>
      </w:r>
    </w:p>
    <w:p w14:paraId="11D1514C" w14:textId="0E1F7215" w:rsidR="003E5D1B" w:rsidRPr="008357EA" w:rsidRDefault="00E26782">
      <w:pPr>
        <w:spacing w:before="240" w:after="240"/>
        <w:rPr>
          <w:rFonts w:eastAsia="Verdana" w:cs="Verdana"/>
          <w:color w:val="000000" w:themeColor="text1"/>
          <w:lang w:val="es-419"/>
        </w:rPr>
      </w:pPr>
      <w:r>
        <w:rPr>
          <w:lang w:val="es-ES"/>
        </w:rPr>
        <w:t xml:space="preserve">La lista de los </w:t>
      </w:r>
      <w:r w:rsidR="00A95DEF">
        <w:rPr>
          <w:lang w:val="es-ES"/>
        </w:rPr>
        <w:t>CMRE</w:t>
      </w:r>
      <w:r>
        <w:rPr>
          <w:lang w:val="es-ES"/>
        </w:rPr>
        <w:t xml:space="preserve"> designados para prestar servicios meteorológicos marinos figura en la parte III del </w:t>
      </w:r>
      <w:r w:rsidR="00B36420" w:rsidRPr="00B36420">
        <w:rPr>
          <w:i/>
          <w:iCs/>
          <w:lang w:val="es-ES"/>
        </w:rPr>
        <w:t>Manual del GDPFS</w:t>
      </w:r>
      <w:r>
        <w:rPr>
          <w:lang w:val="es-ES"/>
        </w:rPr>
        <w:t xml:space="preserve">. </w:t>
      </w:r>
    </w:p>
    <w:p w14:paraId="2628818A" w14:textId="08F00C40" w:rsidR="003E5D1B" w:rsidRPr="008357EA" w:rsidRDefault="00E26782">
      <w:pPr>
        <w:spacing w:before="240" w:after="240"/>
        <w:rPr>
          <w:rFonts w:eastAsia="Verdana" w:cs="Verdana"/>
          <w:color w:val="000000" w:themeColor="text1"/>
          <w:lang w:val="es-419"/>
        </w:rPr>
      </w:pPr>
      <w:r>
        <w:rPr>
          <w:lang w:val="es-ES"/>
        </w:rPr>
        <w:t xml:space="preserve">Cada </w:t>
      </w:r>
      <w:r w:rsidR="00A95DEF">
        <w:rPr>
          <w:lang w:val="es-ES"/>
        </w:rPr>
        <w:t>CMRE</w:t>
      </w:r>
      <w:r>
        <w:rPr>
          <w:lang w:val="es-ES"/>
        </w:rPr>
        <w:t xml:space="preserve"> proporciona productos de servicios meteorológicos marinos (es decir, avisos meteorológicos, predicciones marítimas y servicios de información sobre los hielos marinos) que abarcan su zona de responsabilidad. En el GDPFS no hay ningún mecanismo adicional de coordinación entre los </w:t>
      </w:r>
      <w:r w:rsidR="00A95DEF">
        <w:rPr>
          <w:lang w:val="es-ES"/>
        </w:rPr>
        <w:t>CMRE</w:t>
      </w:r>
      <w:r>
        <w:rPr>
          <w:lang w:val="es-ES"/>
        </w:rPr>
        <w:t xml:space="preserve"> que prestan servicios meteorológicos marinos, ya que estos se coordinan a través del Servicio Mundial de Información y Avisos Meteorológicos y Oceanográficos de la OMI y la OMM que se describe en el </w:t>
      </w:r>
      <w:hyperlink r:id="rId54" w:history="1">
        <w:r w:rsidR="00CA1DA5" w:rsidRPr="00644BA9">
          <w:rPr>
            <w:rStyle w:val="Hyperlink"/>
            <w:i/>
            <w:iCs/>
            <w:lang w:val="es-ES"/>
          </w:rPr>
          <w:t>Manual de servicios meteorológicos marinos</w:t>
        </w:r>
      </w:hyperlink>
      <w:r>
        <w:rPr>
          <w:lang w:val="es-ES"/>
        </w:rPr>
        <w:t xml:space="preserve"> (</w:t>
      </w:r>
      <w:r w:rsidR="00EB4587">
        <w:rPr>
          <w:lang w:val="es-ES"/>
        </w:rPr>
        <w:t>OMM</w:t>
      </w:r>
      <w:r w:rsidR="00EB4587">
        <w:rPr>
          <w:lang w:val="es-ES"/>
        </w:rPr>
        <w:noBreakHyphen/>
        <w:t>Nº</w:t>
      </w:r>
      <w:r w:rsidR="0093047C">
        <w:rPr>
          <w:lang w:val="es-ES"/>
        </w:rPr>
        <w:t> </w:t>
      </w:r>
      <w:r>
        <w:rPr>
          <w:lang w:val="es-ES"/>
        </w:rPr>
        <w:t xml:space="preserve">558), </w:t>
      </w:r>
      <w:r w:rsidR="00107719">
        <w:rPr>
          <w:lang w:val="es-ES"/>
        </w:rPr>
        <w:t>v</w:t>
      </w:r>
      <w:r>
        <w:rPr>
          <w:lang w:val="es-ES"/>
        </w:rPr>
        <w:t xml:space="preserve">olumen I. En el apéndice 2.2.40 del </w:t>
      </w:r>
      <w:r w:rsidR="00B36420" w:rsidRPr="00B36420">
        <w:rPr>
          <w:i/>
          <w:iCs/>
          <w:lang w:val="es-ES"/>
        </w:rPr>
        <w:t>Manual del GDPFS</w:t>
      </w:r>
      <w:r>
        <w:rPr>
          <w:lang w:val="es-ES"/>
        </w:rPr>
        <w:t xml:space="preserve"> se proporciona un marco de verificación normalizada que se aplica a dicho Servicio.</w:t>
      </w:r>
    </w:p>
    <w:p w14:paraId="7AFE560F" w14:textId="76145CFE" w:rsidR="003E5D1B" w:rsidRPr="008357EA" w:rsidRDefault="00E26782">
      <w:pPr>
        <w:spacing w:before="240" w:after="240"/>
        <w:rPr>
          <w:rFonts w:eastAsia="Verdana" w:cs="Verdana"/>
          <w:color w:val="000000" w:themeColor="text1"/>
          <w:lang w:val="es-419"/>
        </w:rPr>
      </w:pPr>
      <w:r>
        <w:rPr>
          <w:lang w:val="es-ES"/>
        </w:rPr>
        <w:t xml:space="preserve">ii) </w:t>
      </w:r>
      <w:r w:rsidR="00947A8C" w:rsidRPr="00947A8C">
        <w:rPr>
          <w:i/>
          <w:iCs/>
          <w:lang w:val="es-ES"/>
        </w:rPr>
        <w:t>Qué beneficios pueden obtener los CMN de los CMRE y cómo pueden contribuir con ellos</w:t>
      </w:r>
      <w:r>
        <w:rPr>
          <w:lang w:val="es-ES"/>
        </w:rPr>
        <w:t xml:space="preserve"> </w:t>
      </w:r>
    </w:p>
    <w:p w14:paraId="0A386FDE" w14:textId="27EC0842" w:rsidR="003E5D1B" w:rsidRPr="008357EA" w:rsidRDefault="00E26782">
      <w:pPr>
        <w:spacing w:before="240" w:after="240"/>
        <w:rPr>
          <w:rFonts w:eastAsia="Verdana" w:cs="Verdana"/>
          <w:color w:val="000000" w:themeColor="text1"/>
          <w:lang w:val="es-419"/>
        </w:rPr>
      </w:pPr>
      <w:r>
        <w:rPr>
          <w:lang w:val="es-ES"/>
        </w:rPr>
        <w:t xml:space="preserve">Los </w:t>
      </w:r>
      <w:r w:rsidR="006753E1">
        <w:rPr>
          <w:lang w:val="es-ES"/>
        </w:rPr>
        <w:t>CMN</w:t>
      </w:r>
      <w:r>
        <w:rPr>
          <w:lang w:val="es-ES"/>
        </w:rPr>
        <w:t xml:space="preserve"> pueden utilizar el WIS para acceder a los datos y productos que </w:t>
      </w:r>
      <w:r w:rsidR="00F6035F">
        <w:rPr>
          <w:lang w:val="es-ES"/>
        </w:rPr>
        <w:t>facilitan</w:t>
      </w:r>
      <w:r>
        <w:rPr>
          <w:lang w:val="es-ES"/>
        </w:rPr>
        <w:t xml:space="preserve"> los </w:t>
      </w:r>
      <w:r w:rsidR="00A95DEF">
        <w:rPr>
          <w:lang w:val="es-ES"/>
        </w:rPr>
        <w:t>CMRE</w:t>
      </w:r>
      <w:r>
        <w:rPr>
          <w:lang w:val="es-ES"/>
        </w:rPr>
        <w:t xml:space="preserve"> que prestan servicios meteorológicos marinos. Los metadatos del </w:t>
      </w:r>
      <w:r w:rsidR="001C5219">
        <w:rPr>
          <w:lang w:val="es-ES"/>
        </w:rPr>
        <w:t>WIS</w:t>
      </w:r>
      <w:r>
        <w:rPr>
          <w:lang w:val="es-ES"/>
        </w:rPr>
        <w:t xml:space="preserve"> asociados a cada archivo de datos y productos se obtienen en el </w:t>
      </w:r>
      <w:hyperlink r:id="rId55" w:history="1">
        <w:r w:rsidR="00464890" w:rsidRPr="00464890">
          <w:rPr>
            <w:rStyle w:val="Hyperlink"/>
            <w:lang w:val="es-ES"/>
          </w:rPr>
          <w:t>portal web del GDPFS</w:t>
        </w:r>
      </w:hyperlink>
      <w:r>
        <w:rPr>
          <w:lang w:val="es-ES"/>
        </w:rPr>
        <w:t xml:space="preserve"> seleccionando los servicios meteorológicos marinos en la lista de actividades.</w:t>
      </w:r>
    </w:p>
    <w:p w14:paraId="32285936" w14:textId="5894BD28" w:rsidR="003E5D1B" w:rsidRPr="008357EA" w:rsidRDefault="00E26782">
      <w:pPr>
        <w:spacing w:before="240" w:after="240"/>
        <w:rPr>
          <w:rFonts w:eastAsia="Verdana" w:cs="Verdana"/>
          <w:color w:val="000000" w:themeColor="text1"/>
          <w:lang w:val="es-419"/>
        </w:rPr>
      </w:pPr>
      <w:r>
        <w:rPr>
          <w:lang w:val="es-ES"/>
        </w:rPr>
        <w:t xml:space="preserve">Los </w:t>
      </w:r>
      <w:r w:rsidR="006753E1">
        <w:rPr>
          <w:lang w:val="es-ES"/>
        </w:rPr>
        <w:t>CMN</w:t>
      </w:r>
      <w:r>
        <w:rPr>
          <w:lang w:val="es-ES"/>
        </w:rPr>
        <w:t xml:space="preserve"> pueden contribuir a la actividad de los </w:t>
      </w:r>
      <w:r w:rsidR="00A95DEF">
        <w:rPr>
          <w:lang w:val="es-ES"/>
        </w:rPr>
        <w:t>CMRE</w:t>
      </w:r>
      <w:r>
        <w:rPr>
          <w:lang w:val="es-ES"/>
        </w:rPr>
        <w:t xml:space="preserve"> de las siguientes maneras (enumeración no taxativa): 1) proporcionando retroinformación sobre el desempeño y la utilidad de los servicios meteorológicos marinos respectivos en sus zonas de responsabilidad relacionadas con el mar, y 2) haciendo estudios de caso sobre fenómenos concretos relacionados con el mar y transmitiendo esa información a los </w:t>
      </w:r>
      <w:r w:rsidR="00A95DEF">
        <w:rPr>
          <w:lang w:val="es-ES"/>
        </w:rPr>
        <w:t>CMRE</w:t>
      </w:r>
      <w:r>
        <w:rPr>
          <w:lang w:val="es-ES"/>
        </w:rPr>
        <w:t xml:space="preserve">. </w:t>
      </w:r>
    </w:p>
    <w:p w14:paraId="50F343FC" w14:textId="16259BDF" w:rsidR="003E5D1B" w:rsidRPr="008357EA" w:rsidRDefault="00E26782">
      <w:pPr>
        <w:spacing w:before="240" w:after="240"/>
        <w:rPr>
          <w:rFonts w:eastAsia="Verdana" w:cs="Verdana"/>
          <w:color w:val="000000" w:themeColor="text1"/>
          <w:lang w:val="es-419"/>
        </w:rPr>
      </w:pPr>
      <w:r>
        <w:rPr>
          <w:lang w:val="es-ES"/>
        </w:rPr>
        <w:t xml:space="preserve">2.3.2.11.2. </w:t>
      </w:r>
      <w:r w:rsidR="00947A8C" w:rsidRPr="00947A8C">
        <w:rPr>
          <w:i/>
          <w:iCs/>
          <w:lang w:val="es-ES"/>
        </w:rPr>
        <w:t>Esferas de aplicación y servicio que los CMRE podrían respaldar</w:t>
      </w:r>
    </w:p>
    <w:p w14:paraId="1F83EC72" w14:textId="15297542" w:rsidR="003E5D1B" w:rsidRPr="008357EA" w:rsidRDefault="00226D18">
      <w:pPr>
        <w:spacing w:before="240" w:after="240"/>
        <w:rPr>
          <w:rFonts w:eastAsia="Verdana" w:cs="Verdana"/>
          <w:color w:val="000000" w:themeColor="text1"/>
          <w:lang w:val="es-419"/>
        </w:rPr>
      </w:pPr>
      <w:r>
        <w:rPr>
          <w:lang w:val="es-ES"/>
        </w:rPr>
        <w:t>Los productos que ponen a disposición los CMRE que prestan servicios meteorológicos marinos respaldan las siguientes esferas:</w:t>
      </w:r>
    </w:p>
    <w:p w14:paraId="23129959" w14:textId="77777777" w:rsidR="003E5D1B" w:rsidRPr="008357EA" w:rsidRDefault="00E26782">
      <w:pPr>
        <w:widowControl w:val="0"/>
        <w:numPr>
          <w:ilvl w:val="0"/>
          <w:numId w:val="38"/>
        </w:numPr>
        <w:tabs>
          <w:tab w:val="clear" w:pos="1134"/>
        </w:tabs>
        <w:spacing w:before="240" w:after="240"/>
        <w:rPr>
          <w:rFonts w:eastAsia="Verdana" w:cs="Verdana"/>
          <w:lang w:val="es-419"/>
        </w:rPr>
      </w:pPr>
      <w:r>
        <w:rPr>
          <w:lang w:val="es-ES"/>
        </w:rPr>
        <w:t>Servicios meteorológicos marinos y aplicaciones oceánicas que respaldan la seguridad marítima, la navegación, la pesca, la protección del medio marino, la búsqueda y salvamento, la explotación minera en el mar, el comercio, la ingeniería costera, la construcción y las actividades recreativas, entre otras.</w:t>
      </w:r>
    </w:p>
    <w:p w14:paraId="1B91AD32" w14:textId="77777777" w:rsidR="003E5D1B" w:rsidRPr="008357EA" w:rsidRDefault="00E26782">
      <w:pPr>
        <w:widowControl w:val="0"/>
        <w:numPr>
          <w:ilvl w:val="0"/>
          <w:numId w:val="38"/>
        </w:numPr>
        <w:tabs>
          <w:tab w:val="clear" w:pos="1134"/>
        </w:tabs>
        <w:spacing w:before="240" w:after="240"/>
        <w:rPr>
          <w:rFonts w:eastAsia="Verdana" w:cs="Verdana"/>
          <w:lang w:val="es-419"/>
        </w:rPr>
      </w:pPr>
      <w:r>
        <w:rPr>
          <w:lang w:val="es-ES"/>
        </w:rPr>
        <w:t>Servicios públicos de predicción meteorológica.</w:t>
      </w:r>
    </w:p>
    <w:p w14:paraId="3EAE240A" w14:textId="77777777" w:rsidR="003E5D1B" w:rsidRPr="008357EA" w:rsidRDefault="00E26782">
      <w:pPr>
        <w:widowControl w:val="0"/>
        <w:numPr>
          <w:ilvl w:val="0"/>
          <w:numId w:val="38"/>
        </w:numPr>
        <w:tabs>
          <w:tab w:val="clear" w:pos="1134"/>
        </w:tabs>
        <w:spacing w:before="240" w:after="240"/>
        <w:rPr>
          <w:rFonts w:eastAsia="Verdana" w:cs="Verdana"/>
          <w:lang w:val="es-419"/>
        </w:rPr>
      </w:pPr>
      <w:r>
        <w:rPr>
          <w:lang w:val="es-ES"/>
        </w:rPr>
        <w:t>Sistemas de alerta temprana de peligros múltiples.</w:t>
      </w:r>
    </w:p>
    <w:p w14:paraId="39A97B69" w14:textId="3701B24E" w:rsidR="003E5D1B" w:rsidRPr="008357EA" w:rsidRDefault="00E26782">
      <w:pPr>
        <w:spacing w:before="240" w:after="240"/>
        <w:rPr>
          <w:rFonts w:eastAsia="Verdana" w:cs="Verdana"/>
          <w:color w:val="000000" w:themeColor="text1"/>
          <w:lang w:val="es-419"/>
        </w:rPr>
      </w:pPr>
      <w:r>
        <w:rPr>
          <w:lang w:val="es-ES"/>
        </w:rPr>
        <w:t xml:space="preserve">2.3.2.11.3. </w:t>
      </w:r>
      <w:r w:rsidR="008B0C15" w:rsidRPr="008B0C15">
        <w:rPr>
          <w:i/>
          <w:iCs/>
          <w:lang w:val="es-ES"/>
        </w:rPr>
        <w:t>Recomendaciones sobre la integración en el proceso nacional de predicción</w:t>
      </w:r>
    </w:p>
    <w:p w14:paraId="35F03493" w14:textId="08CB400C" w:rsidR="003E5D1B" w:rsidRPr="008357EA" w:rsidRDefault="00E26782">
      <w:pPr>
        <w:spacing w:before="240" w:after="240"/>
        <w:rPr>
          <w:rFonts w:eastAsia="Verdana" w:cs="Verdana"/>
          <w:color w:val="000000" w:themeColor="text1"/>
          <w:lang w:val="es-419"/>
        </w:rPr>
      </w:pPr>
      <w:r>
        <w:rPr>
          <w:lang w:val="es-ES"/>
        </w:rPr>
        <w:t xml:space="preserve">Como actividad especializada, y en consonancia con las competencias que deben tener quienes hacen predicciones relativas al mar, se recomienda aplicar los siguientes pasos para integrar los productos de los </w:t>
      </w:r>
      <w:r w:rsidR="00A95DEF">
        <w:rPr>
          <w:lang w:val="es-ES"/>
        </w:rPr>
        <w:t>CMRE</w:t>
      </w:r>
      <w:r>
        <w:rPr>
          <w:lang w:val="es-ES"/>
        </w:rPr>
        <w:t xml:space="preserve"> que prestan servicios meteorológicos marinos en el proceso nacional de predicción: </w:t>
      </w:r>
    </w:p>
    <w:p w14:paraId="5B1DC58A" w14:textId="77777777" w:rsidR="003E5D1B" w:rsidRPr="008357EA" w:rsidRDefault="00E26782">
      <w:pPr>
        <w:widowControl w:val="0"/>
        <w:numPr>
          <w:ilvl w:val="0"/>
          <w:numId w:val="2"/>
        </w:numPr>
        <w:tabs>
          <w:tab w:val="clear" w:pos="1134"/>
        </w:tabs>
        <w:spacing w:before="240" w:after="240"/>
        <w:rPr>
          <w:rFonts w:eastAsia="Verdana" w:cs="Verdana"/>
          <w:lang w:val="es-419"/>
        </w:rPr>
      </w:pPr>
      <w:r>
        <w:rPr>
          <w:lang w:val="es-ES"/>
        </w:rPr>
        <w:t>Analizar y monitorear continuamente las condiciones meteorológicas marinas, oceánicas y del hielo marino mediante observaciones locales y por teledetección.</w:t>
      </w:r>
    </w:p>
    <w:p w14:paraId="20302CAE" w14:textId="4DAFD470" w:rsidR="003E5D1B" w:rsidRPr="008357EA" w:rsidRDefault="00E26782">
      <w:pPr>
        <w:widowControl w:val="0"/>
        <w:numPr>
          <w:ilvl w:val="0"/>
          <w:numId w:val="2"/>
        </w:numPr>
        <w:tabs>
          <w:tab w:val="clear" w:pos="1134"/>
        </w:tabs>
        <w:spacing w:before="240" w:after="240"/>
        <w:rPr>
          <w:rFonts w:eastAsia="Verdana" w:cs="Verdana"/>
          <w:lang w:val="es-419"/>
        </w:rPr>
      </w:pPr>
      <w:r>
        <w:rPr>
          <w:lang w:val="es-ES"/>
        </w:rPr>
        <w:lastRenderedPageBreak/>
        <w:t xml:space="preserve">Predecir los fenómenos meteorológicos marinos haciendo uso de los productos de los </w:t>
      </w:r>
      <w:r w:rsidR="00A95DEF">
        <w:rPr>
          <w:lang w:val="es-ES"/>
        </w:rPr>
        <w:t>CMRE</w:t>
      </w:r>
      <w:r>
        <w:rPr>
          <w:lang w:val="es-ES"/>
        </w:rPr>
        <w:t xml:space="preserve"> que prestan servicios meteorológicos marinos.</w:t>
      </w:r>
    </w:p>
    <w:p w14:paraId="732ED81D" w14:textId="55D896D6" w:rsidR="003E5D1B" w:rsidRPr="008357EA" w:rsidRDefault="00E26782">
      <w:pPr>
        <w:widowControl w:val="0"/>
        <w:numPr>
          <w:ilvl w:val="0"/>
          <w:numId w:val="2"/>
        </w:numPr>
        <w:tabs>
          <w:tab w:val="clear" w:pos="1134"/>
        </w:tabs>
        <w:spacing w:before="240" w:after="240"/>
        <w:rPr>
          <w:rFonts w:eastAsia="Verdana" w:cs="Verdana"/>
          <w:lang w:val="es-419"/>
        </w:rPr>
      </w:pPr>
      <w:r>
        <w:rPr>
          <w:lang w:val="es-ES"/>
        </w:rPr>
        <w:t xml:space="preserve">Advertir sobre los fenómenos meteorológicos marinos haciendo uso de los productos de los </w:t>
      </w:r>
      <w:r w:rsidR="00A95DEF">
        <w:rPr>
          <w:lang w:val="es-ES"/>
        </w:rPr>
        <w:t>CMRE</w:t>
      </w:r>
      <w:r>
        <w:rPr>
          <w:lang w:val="es-ES"/>
        </w:rPr>
        <w:t xml:space="preserve"> que prestan servicios meteorológicos marinos.</w:t>
      </w:r>
    </w:p>
    <w:p w14:paraId="6725C69F" w14:textId="77777777" w:rsidR="003E5D1B" w:rsidRPr="008357EA" w:rsidRDefault="00E26782">
      <w:pPr>
        <w:widowControl w:val="0"/>
        <w:numPr>
          <w:ilvl w:val="0"/>
          <w:numId w:val="2"/>
        </w:numPr>
        <w:tabs>
          <w:tab w:val="clear" w:pos="1134"/>
        </w:tabs>
        <w:spacing w:before="240" w:after="240"/>
        <w:rPr>
          <w:rFonts w:eastAsia="Verdana" w:cs="Verdana"/>
          <w:lang w:val="es-419"/>
        </w:rPr>
      </w:pPr>
      <w:r>
        <w:rPr>
          <w:lang w:val="es-ES"/>
        </w:rPr>
        <w:t>Evaluar la calidad de la información y los servicios meteorológicos marinos.</w:t>
      </w:r>
    </w:p>
    <w:p w14:paraId="2F41A5CB" w14:textId="77777777" w:rsidR="003E5D1B" w:rsidRPr="008357EA" w:rsidRDefault="00E26782">
      <w:pPr>
        <w:widowControl w:val="0"/>
        <w:numPr>
          <w:ilvl w:val="0"/>
          <w:numId w:val="2"/>
        </w:numPr>
        <w:tabs>
          <w:tab w:val="clear" w:pos="1134"/>
        </w:tabs>
        <w:spacing w:before="240" w:after="240"/>
        <w:rPr>
          <w:rFonts w:eastAsia="Verdana" w:cs="Verdana"/>
          <w:lang w:val="es-419"/>
        </w:rPr>
      </w:pPr>
      <w:r>
        <w:rPr>
          <w:lang w:val="es-ES"/>
        </w:rPr>
        <w:t>Comunicar información meteorológica marina a los usuarios.</w:t>
      </w:r>
    </w:p>
    <w:p w14:paraId="04822308" w14:textId="5FC12E7A" w:rsidR="003E5D1B" w:rsidRPr="008357EA" w:rsidRDefault="00E26782">
      <w:pPr>
        <w:spacing w:before="240" w:after="240"/>
        <w:rPr>
          <w:rFonts w:eastAsia="Verdana" w:cs="Verdana"/>
          <w:color w:val="000000" w:themeColor="text1"/>
          <w:lang w:val="es-419"/>
        </w:rPr>
      </w:pPr>
      <w:r>
        <w:rPr>
          <w:lang w:val="es-ES"/>
        </w:rPr>
        <w:t>2.3.2.11.4</w:t>
      </w:r>
      <w:r w:rsidR="0038717F">
        <w:rPr>
          <w:lang w:val="es-ES"/>
        </w:rPr>
        <w:t xml:space="preserve">. </w:t>
      </w:r>
      <w:r w:rsidR="00947A8C" w:rsidRPr="00947A8C">
        <w:rPr>
          <w:i/>
          <w:iCs/>
          <w:lang w:val="es-ES"/>
        </w:rPr>
        <w:t>Mecanismo de retroinformación sobre la utilidad y exactitud de los productos</w:t>
      </w:r>
    </w:p>
    <w:p w14:paraId="0F86ABEC" w14:textId="5BC95A52" w:rsidR="003E5D1B" w:rsidRPr="008357EA" w:rsidRDefault="00E26782">
      <w:pPr>
        <w:spacing w:before="240" w:after="240"/>
        <w:rPr>
          <w:rFonts w:eastAsia="Verdana" w:cs="Verdana"/>
          <w:color w:val="000000" w:themeColor="text1"/>
          <w:lang w:val="es-419"/>
        </w:rPr>
      </w:pPr>
      <w:r>
        <w:rPr>
          <w:lang w:val="es-ES"/>
        </w:rPr>
        <w:t xml:space="preserve">Se anima a los </w:t>
      </w:r>
      <w:r w:rsidR="006753E1">
        <w:rPr>
          <w:lang w:val="es-ES"/>
        </w:rPr>
        <w:t>CMN</w:t>
      </w:r>
      <w:r>
        <w:rPr>
          <w:lang w:val="es-ES"/>
        </w:rPr>
        <w:t xml:space="preserve"> a verificar los productos de los servicios meteorológicos marinos, y a brindar retroinformación sobre la utilidad y la exactitud de esos productos a los </w:t>
      </w:r>
      <w:r w:rsidR="00A95DEF">
        <w:rPr>
          <w:lang w:val="es-ES"/>
        </w:rPr>
        <w:t>CMRE</w:t>
      </w:r>
      <w:r>
        <w:rPr>
          <w:lang w:val="es-ES"/>
        </w:rPr>
        <w:t xml:space="preserve"> que los elaboraron.</w:t>
      </w:r>
    </w:p>
    <w:p w14:paraId="3C7E312F" w14:textId="23D7D494" w:rsidR="003E5D1B" w:rsidRPr="008357EA" w:rsidRDefault="00E26782">
      <w:pPr>
        <w:keepNext/>
        <w:spacing w:before="240" w:after="240" w:line="240" w:lineRule="exact"/>
        <w:ind w:left="1123" w:hanging="1123"/>
        <w:outlineLvl w:val="5"/>
        <w:rPr>
          <w:rFonts w:eastAsiaTheme="minorEastAsia" w:cstheme="majorBidi"/>
          <w:b/>
          <w:bCs/>
          <w:i/>
          <w:iCs/>
          <w:color w:val="000000" w:themeColor="text1"/>
          <w:lang w:val="es-419"/>
        </w:rPr>
      </w:pPr>
      <w:bookmarkStart w:id="184" w:name="_Toc113003335"/>
      <w:bookmarkStart w:id="185" w:name="_Toc113024460"/>
      <w:bookmarkStart w:id="186" w:name="_Toc117501991"/>
      <w:r>
        <w:rPr>
          <w:b/>
          <w:bCs/>
          <w:i/>
          <w:iCs/>
          <w:lang w:val="es-ES"/>
        </w:rPr>
        <w:t>2.3.2.12</w:t>
      </w:r>
      <w:r>
        <w:rPr>
          <w:lang w:val="es-ES"/>
        </w:rPr>
        <w:t xml:space="preserve"> </w:t>
      </w:r>
      <w:r w:rsidRPr="00C66EE8">
        <w:rPr>
          <w:b/>
          <w:bCs/>
          <w:lang w:val="es-ES"/>
        </w:rPr>
        <w:t>Respuesta a emergencias medioambientales marinas</w:t>
      </w:r>
      <w:r>
        <w:rPr>
          <w:lang w:val="es-ES"/>
        </w:rPr>
        <w:t xml:space="preserve"> </w:t>
      </w:r>
      <w:bookmarkEnd w:id="184"/>
      <w:bookmarkEnd w:id="185"/>
      <w:bookmarkEnd w:id="186"/>
    </w:p>
    <w:p w14:paraId="5031B79B" w14:textId="3666CF33" w:rsidR="003E5D1B" w:rsidRPr="008357EA" w:rsidRDefault="00E26782">
      <w:pPr>
        <w:rPr>
          <w:rFonts w:cstheme="majorBidi"/>
          <w:color w:val="000000" w:themeColor="text1"/>
          <w:lang w:val="es-419"/>
        </w:rPr>
      </w:pPr>
      <w:r>
        <w:rPr>
          <w:lang w:val="es-ES"/>
        </w:rPr>
        <w:t xml:space="preserve">Esta sección se formulará una vez que se hayan determinado los criterios y la función de la actividad en el </w:t>
      </w:r>
      <w:r w:rsidR="002D6434" w:rsidRPr="002D6434">
        <w:rPr>
          <w:i/>
          <w:iCs/>
          <w:lang w:val="es-ES"/>
        </w:rPr>
        <w:t>Manual del Sistema Mundial de Proceso de Datos y de Predicción</w:t>
      </w:r>
      <w:r w:rsidR="008357EA">
        <w:rPr>
          <w:lang w:val="es-ES"/>
        </w:rPr>
        <w:t xml:space="preserve"> (</w:t>
      </w:r>
      <w:r w:rsidR="00EB4587">
        <w:rPr>
          <w:lang w:val="es-ES"/>
        </w:rPr>
        <w:t>OMM</w:t>
      </w:r>
      <w:r w:rsidR="00EB4587">
        <w:rPr>
          <w:lang w:val="es-ES"/>
        </w:rPr>
        <w:noBreakHyphen/>
        <w:t>Nº</w:t>
      </w:r>
      <w:r w:rsidR="0093047C">
        <w:rPr>
          <w:lang w:val="es-ES"/>
        </w:rPr>
        <w:t> </w:t>
      </w:r>
      <w:r w:rsidR="008357EA">
        <w:rPr>
          <w:lang w:val="es-ES"/>
        </w:rPr>
        <w:t>485).</w:t>
      </w:r>
    </w:p>
    <w:p w14:paraId="1E5DA5DA" w14:textId="64FD9F5C" w:rsidR="003E5D1B" w:rsidRPr="008357EA" w:rsidRDefault="00E26782">
      <w:pPr>
        <w:keepNext/>
        <w:spacing w:before="240" w:after="240" w:line="240" w:lineRule="exact"/>
        <w:ind w:left="1123" w:hanging="1123"/>
        <w:outlineLvl w:val="4"/>
        <w:rPr>
          <w:b/>
          <w:bCs/>
          <w:color w:val="000000" w:themeColor="text1"/>
          <w:lang w:val="es-419"/>
        </w:rPr>
      </w:pPr>
      <w:bookmarkStart w:id="187" w:name="_Toc113003336"/>
      <w:bookmarkStart w:id="188" w:name="_Toc113024461"/>
      <w:bookmarkStart w:id="189" w:name="_Toc117501992"/>
      <w:r>
        <w:rPr>
          <w:b/>
          <w:bCs/>
          <w:lang w:val="es-ES"/>
        </w:rPr>
        <w:t>2.3.3</w:t>
      </w:r>
      <w:r>
        <w:rPr>
          <w:lang w:val="es-ES"/>
        </w:rPr>
        <w:t xml:space="preserve"> </w:t>
      </w:r>
      <w:r>
        <w:rPr>
          <w:b/>
          <w:bCs/>
          <w:lang w:val="es-ES"/>
        </w:rPr>
        <w:t>Actividades de coordinación en tiempo no real</w:t>
      </w:r>
      <w:r>
        <w:rPr>
          <w:lang w:val="es-ES"/>
        </w:rPr>
        <w:t xml:space="preserve"> </w:t>
      </w:r>
      <w:bookmarkEnd w:id="187"/>
      <w:bookmarkEnd w:id="188"/>
      <w:bookmarkEnd w:id="189"/>
    </w:p>
    <w:p w14:paraId="09B06F4B" w14:textId="364099F3" w:rsidR="003E5D1B" w:rsidRPr="008357EA" w:rsidRDefault="00E26782">
      <w:pPr>
        <w:keepNext/>
        <w:spacing w:before="240" w:after="240" w:line="240" w:lineRule="exact"/>
        <w:ind w:left="1123" w:hanging="1123"/>
        <w:outlineLvl w:val="5"/>
        <w:rPr>
          <w:rFonts w:eastAsiaTheme="minorEastAsia" w:cstheme="majorBidi"/>
          <w:b/>
          <w:bCs/>
          <w:i/>
          <w:iCs/>
          <w:color w:val="000000" w:themeColor="text1"/>
          <w:lang w:val="es-419"/>
        </w:rPr>
      </w:pPr>
      <w:bookmarkStart w:id="190" w:name="_Toc113003337"/>
      <w:bookmarkStart w:id="191" w:name="_Toc113024462"/>
      <w:bookmarkStart w:id="192" w:name="_Toc117501993"/>
      <w:r>
        <w:rPr>
          <w:b/>
          <w:bCs/>
          <w:i/>
          <w:iCs/>
          <w:lang w:val="es-ES"/>
        </w:rPr>
        <w:t>2.3.3.1</w:t>
      </w:r>
      <w:r>
        <w:rPr>
          <w:lang w:val="es-ES"/>
        </w:rPr>
        <w:tab/>
      </w:r>
      <w:r>
        <w:rPr>
          <w:b/>
          <w:bCs/>
          <w:i/>
          <w:iCs/>
          <w:lang w:val="es-ES"/>
        </w:rPr>
        <w:t>Coordinación de la verificación de la predicción numérica del tiempo determinística</w:t>
      </w:r>
      <w:bookmarkEnd w:id="190"/>
      <w:bookmarkEnd w:id="191"/>
      <w:bookmarkEnd w:id="192"/>
    </w:p>
    <w:p w14:paraId="50AA5494" w14:textId="4E284C21" w:rsidR="003E5D1B" w:rsidRPr="008357EA" w:rsidRDefault="00E26782">
      <w:pPr>
        <w:spacing w:after="240" w:line="240" w:lineRule="exact"/>
        <w:rPr>
          <w:rFonts w:eastAsiaTheme="minorEastAsia" w:cstheme="majorBidi"/>
          <w:color w:val="000000" w:themeColor="text1"/>
          <w:lang w:val="es-419"/>
        </w:rPr>
      </w:pPr>
      <w:r>
        <w:rPr>
          <w:lang w:val="es-ES"/>
        </w:rPr>
        <w:t xml:space="preserve">2.3.3.1.1 </w:t>
      </w:r>
      <w:r w:rsidR="00640C39" w:rsidRPr="00640C39">
        <w:rPr>
          <w:i/>
          <w:iCs/>
          <w:lang w:val="es-ES"/>
        </w:rPr>
        <w:t>Resumen general de la actividad</w:t>
      </w:r>
    </w:p>
    <w:p w14:paraId="317BA4C8" w14:textId="0C55DAEC" w:rsidR="003E5D1B" w:rsidRPr="008357EA" w:rsidRDefault="00E26782">
      <w:pPr>
        <w:spacing w:after="240" w:line="240" w:lineRule="exact"/>
        <w:rPr>
          <w:rFonts w:eastAsiaTheme="minorEastAsia" w:cstheme="majorBidi"/>
          <w:b/>
          <w:bCs/>
          <w:color w:val="000000" w:themeColor="text1"/>
          <w:lang w:val="es-419"/>
        </w:rPr>
      </w:pPr>
      <w:r>
        <w:rPr>
          <w:lang w:val="es-ES"/>
        </w:rPr>
        <w:t xml:space="preserve">Muchos centros del GDPFS, entre ellos los </w:t>
      </w:r>
      <w:r w:rsidR="00A95DEF">
        <w:rPr>
          <w:lang w:val="es-ES"/>
        </w:rPr>
        <w:t>CMRE</w:t>
      </w:r>
      <w:r>
        <w:rPr>
          <w:lang w:val="es-ES"/>
        </w:rPr>
        <w:t xml:space="preserve"> que hacen predicciones numéricas del tiempo determinísticas a escala mundial, ofrecen tipos similares de productos de predicción numérica del tiempo a escala mundial. Para mejorar su utilidad, es importante comprender las características de los productos de predicción numérica del tiempo en lo que atañe al grado de acierto. Esta actividad se creó en el Decimosexto Congreso Meteorológico Mundial (2011) con el propósito de proporcionar a los Miembros información coherente de verificación sobre la predicción numérica del tiempo a escala mundial, y de ayudar a los centros del GDPFS a comparar y mejorar sus productos. </w:t>
      </w:r>
    </w:p>
    <w:p w14:paraId="6F6D5F86" w14:textId="57E96394" w:rsidR="003E5D1B" w:rsidRPr="008357EA" w:rsidRDefault="00E26782">
      <w:pPr>
        <w:spacing w:after="240" w:line="240" w:lineRule="exact"/>
        <w:rPr>
          <w:rFonts w:eastAsiaTheme="minorEastAsia" w:cstheme="majorBidi"/>
          <w:b/>
          <w:bCs/>
          <w:color w:val="000000" w:themeColor="text1"/>
          <w:lang w:val="es-419"/>
        </w:rPr>
      </w:pPr>
      <w:r>
        <w:rPr>
          <w:lang w:val="es-ES"/>
        </w:rPr>
        <w:t xml:space="preserve">Los centros designados para coordinar la verificación de la predicción numérica del tiempo determinística (que se conocen con el nombre de Centro Principal de Verificación de la Predicción Numérica del Tiempo Determinística) son responsables de mantener un sitio web actualizado que sirva de repositorio de los conjuntos de datos normalizados que se necesitan para llevar a cabo la verificación normalizada, así como de las estadísticas de verificación normalizada proporcionadas por los </w:t>
      </w:r>
      <w:r w:rsidR="00A95DEF">
        <w:rPr>
          <w:lang w:val="es-ES"/>
        </w:rPr>
        <w:t>CMRE</w:t>
      </w:r>
      <w:r>
        <w:rPr>
          <w:lang w:val="es-ES"/>
        </w:rPr>
        <w:t xml:space="preserve"> que hacen predicciones numéricas del tiempo determinísticas a escala mundial.</w:t>
      </w:r>
    </w:p>
    <w:p w14:paraId="51F693D6" w14:textId="53B16137" w:rsidR="003E5D1B" w:rsidRPr="008357EA" w:rsidRDefault="00E26782">
      <w:pPr>
        <w:spacing w:after="240" w:line="240" w:lineRule="exact"/>
        <w:rPr>
          <w:rFonts w:eastAsiaTheme="minorEastAsia" w:cstheme="majorBidi"/>
          <w:b/>
          <w:bCs/>
          <w:lang w:val="es-419"/>
        </w:rPr>
      </w:pPr>
      <w:r>
        <w:rPr>
          <w:lang w:val="es-ES"/>
        </w:rPr>
        <w:t xml:space="preserve">El conjunto de parámetros de predicción numérica del tiempo que se ha de verificar se escogió de modo que coincidiera casi por completo con los productos obligatorios de predicción numérica del tiempo determinística a escala mundial que debían </w:t>
      </w:r>
      <w:r w:rsidR="001B350B">
        <w:rPr>
          <w:lang w:val="es-ES"/>
        </w:rPr>
        <w:t>estar disponibles a través del WIS de acuerdo con</w:t>
      </w:r>
      <w:r>
        <w:rPr>
          <w:lang w:val="es-ES"/>
        </w:rPr>
        <w:t xml:space="preserve"> el apéndice 2.2.34 del </w:t>
      </w:r>
      <w:r w:rsidR="00B36420" w:rsidRPr="00B36420">
        <w:rPr>
          <w:i/>
          <w:iCs/>
          <w:lang w:val="es-ES"/>
        </w:rPr>
        <w:t>Manual del GDPFS</w:t>
      </w:r>
      <w:r>
        <w:rPr>
          <w:lang w:val="es-ES"/>
        </w:rPr>
        <w:t xml:space="preserve">. </w:t>
      </w:r>
    </w:p>
    <w:p w14:paraId="7B9251D4" w14:textId="731E61BB" w:rsidR="003E5D1B" w:rsidRPr="008357EA" w:rsidRDefault="00E26782">
      <w:pPr>
        <w:spacing w:after="240" w:line="240" w:lineRule="exact"/>
        <w:rPr>
          <w:rFonts w:eastAsiaTheme="minorEastAsia" w:cstheme="majorBidi"/>
          <w:color w:val="000000" w:themeColor="text1"/>
          <w:lang w:val="es-419"/>
        </w:rPr>
      </w:pPr>
      <w:r>
        <w:rPr>
          <w:lang w:val="es-ES"/>
        </w:rPr>
        <w:t xml:space="preserve">i) </w:t>
      </w:r>
      <w:r w:rsidR="00947A8C" w:rsidRPr="00947A8C">
        <w:rPr>
          <w:i/>
          <w:iCs/>
          <w:lang w:val="es-ES"/>
        </w:rPr>
        <w:t>Centros designados y modalidad de trabajo</w:t>
      </w:r>
    </w:p>
    <w:p w14:paraId="375A3118" w14:textId="77777777" w:rsidR="003E5D1B" w:rsidRPr="008357EA" w:rsidRDefault="00E26782">
      <w:pPr>
        <w:spacing w:after="240" w:line="240" w:lineRule="exact"/>
        <w:rPr>
          <w:rFonts w:eastAsiaTheme="minorEastAsia" w:cstheme="majorBidi"/>
          <w:b/>
          <w:bCs/>
          <w:color w:val="000000" w:themeColor="text1"/>
          <w:lang w:val="es-419"/>
        </w:rPr>
      </w:pPr>
      <w:r>
        <w:rPr>
          <w:lang w:val="es-ES"/>
        </w:rPr>
        <w:t xml:space="preserve">El Centro Principal de Verificación de la Predicción Numérica del Tiempo Determinística se designó en el Decimosexto Congreso Meteorológico Mundial (2011). Dado que la actividad se refiere a la coordinación en tiempo no real, un centro es suficiente para llevarla a cabo. </w:t>
      </w:r>
      <w:bookmarkStart w:id="193" w:name="_Int_lbizo75J"/>
      <w:bookmarkEnd w:id="193"/>
    </w:p>
    <w:p w14:paraId="1A1A41F5" w14:textId="18755BF7" w:rsidR="003E5D1B" w:rsidRPr="008357EA" w:rsidRDefault="00E26782">
      <w:pPr>
        <w:spacing w:after="240" w:line="240" w:lineRule="exact"/>
        <w:rPr>
          <w:rFonts w:eastAsiaTheme="minorEastAsia" w:cs="Segoe UI"/>
          <w:b/>
          <w:bCs/>
          <w:color w:val="000000" w:themeColor="text1"/>
          <w:lang w:val="es-419"/>
        </w:rPr>
      </w:pPr>
      <w:r>
        <w:rPr>
          <w:lang w:val="es-ES"/>
        </w:rPr>
        <w:t xml:space="preserve">La verificación de la predicción numérica del tiempo determinística es una función que deben desempeñar de forma obligatoria los </w:t>
      </w:r>
      <w:r w:rsidR="00A95DEF">
        <w:rPr>
          <w:lang w:val="es-ES"/>
        </w:rPr>
        <w:t>CMRE</w:t>
      </w:r>
      <w:r>
        <w:rPr>
          <w:lang w:val="es-ES"/>
        </w:rPr>
        <w:t xml:space="preserve"> que se ocupan de ese tipo de predicción a escala mundial, que se denominan centros participantes. El cumplimiento se supervisa de acuerdo con </w:t>
      </w:r>
      <w:r>
        <w:rPr>
          <w:lang w:val="es-ES"/>
        </w:rPr>
        <w:lastRenderedPageBreak/>
        <w:t xml:space="preserve">los procedimientos descritos en la sección 3.4 de la presente Guía. Por lo general, </w:t>
      </w:r>
      <w:r w:rsidR="0015555A">
        <w:rPr>
          <w:lang w:val="es-ES"/>
        </w:rPr>
        <w:t>esos</w:t>
      </w:r>
      <w:r>
        <w:rPr>
          <w:lang w:val="es-ES"/>
        </w:rPr>
        <w:t xml:space="preserve"> </w:t>
      </w:r>
      <w:r w:rsidR="00A95DEF">
        <w:rPr>
          <w:lang w:val="es-ES"/>
        </w:rPr>
        <w:t>CMRE</w:t>
      </w:r>
      <w:r>
        <w:rPr>
          <w:lang w:val="es-ES"/>
        </w:rPr>
        <w:t xml:space="preserve"> disponen de procesos automatizados para calcular las estadísticas de verificación de forma diaria o en cada ejecución. Una vez finalizado el mes, las estadísticas diarias se compilan en promedios mensuales. Los índices diarios y los mensuales se cargan en el sitio ftp del Centro Principal de Verificación de la Predicción Numérica del Tiempo Determinística. </w:t>
      </w:r>
    </w:p>
    <w:p w14:paraId="7C611E7B" w14:textId="271D04BD" w:rsidR="003E5D1B" w:rsidRPr="008357EA" w:rsidRDefault="00E26782">
      <w:pPr>
        <w:spacing w:after="240" w:line="240" w:lineRule="exact"/>
        <w:rPr>
          <w:rFonts w:eastAsiaTheme="minorEastAsia" w:cstheme="majorBidi"/>
          <w:color w:val="000000" w:themeColor="text1"/>
          <w:lang w:val="es-419"/>
        </w:rPr>
      </w:pPr>
      <w:r>
        <w:rPr>
          <w:lang w:val="es-ES"/>
        </w:rPr>
        <w:t xml:space="preserve">ii) </w:t>
      </w:r>
      <w:r w:rsidR="007402A6" w:rsidRPr="007402A6">
        <w:rPr>
          <w:i/>
          <w:iCs/>
          <w:lang w:val="es-ES"/>
        </w:rPr>
        <w:t>Qué beneficios pueden obtener los CMN del Centro Principal y cómo pueden contribuir con él</w:t>
      </w:r>
    </w:p>
    <w:p w14:paraId="34DB43A7" w14:textId="473F48DD" w:rsidR="003E5D1B" w:rsidRPr="008357EA" w:rsidRDefault="00E26782">
      <w:pPr>
        <w:spacing w:after="240" w:line="240" w:lineRule="exact"/>
        <w:rPr>
          <w:rFonts w:eastAsia="Verdana" w:cs="Verdana"/>
          <w:b/>
          <w:bCs/>
          <w:color w:val="751D20"/>
          <w:u w:val="single"/>
          <w:lang w:val="es-419"/>
        </w:rPr>
      </w:pPr>
      <w:r>
        <w:rPr>
          <w:lang w:val="es-ES"/>
        </w:rPr>
        <w:t xml:space="preserve">Los CMN pueden acceder a los resultados de la verificación en el </w:t>
      </w:r>
      <w:hyperlink r:id="rId56" w:history="1">
        <w:r w:rsidRPr="005458BE">
          <w:rPr>
            <w:rStyle w:val="Hyperlink"/>
            <w:lang w:val="es-ES"/>
          </w:rPr>
          <w:t>sitio web del Centro Principal</w:t>
        </w:r>
      </w:hyperlink>
      <w:r>
        <w:rPr>
          <w:lang w:val="es-ES"/>
        </w:rPr>
        <w:t xml:space="preserve"> y en el </w:t>
      </w:r>
      <w:hyperlink r:id="rId57" w:history="1">
        <w:r w:rsidR="00464890" w:rsidRPr="00464890">
          <w:rPr>
            <w:rStyle w:val="Hyperlink"/>
            <w:lang w:val="es-ES"/>
          </w:rPr>
          <w:t>portal web del GDPFS</w:t>
        </w:r>
      </w:hyperlink>
      <w:r>
        <w:rPr>
          <w:lang w:val="es-ES"/>
        </w:rPr>
        <w:t xml:space="preserve">. </w:t>
      </w:r>
    </w:p>
    <w:p w14:paraId="5ABF37F5" w14:textId="265CE698" w:rsidR="003E5D1B" w:rsidRPr="008357EA" w:rsidRDefault="00E26782">
      <w:pPr>
        <w:spacing w:after="240" w:line="240" w:lineRule="exact"/>
        <w:rPr>
          <w:rFonts w:eastAsia="Verdana" w:cs="Verdana"/>
          <w:b/>
          <w:bCs/>
          <w:lang w:val="es-419"/>
        </w:rPr>
      </w:pPr>
      <w:r>
        <w:rPr>
          <w:lang w:val="es-ES"/>
        </w:rPr>
        <w:t xml:space="preserve">Los </w:t>
      </w:r>
      <w:r w:rsidR="006753E1">
        <w:rPr>
          <w:lang w:val="es-ES"/>
        </w:rPr>
        <w:t>CMN</w:t>
      </w:r>
      <w:r>
        <w:rPr>
          <w:lang w:val="es-ES"/>
        </w:rPr>
        <w:t xml:space="preserve"> pueden contribuir a la actividad del Centro Principal de las siguientes maneras (enumeración no taxativa): 1) llevando a cabo verificaciones objetivas y proporcionando retroinformación sobre el desempeño de los respectivos modelos en sus países, y 2) proporcionando otros datos observacionales para que se utilicen en la verificación.</w:t>
      </w:r>
    </w:p>
    <w:p w14:paraId="74D2871F" w14:textId="1AA95713" w:rsidR="003E5D1B" w:rsidRPr="008357EA" w:rsidRDefault="00E26782">
      <w:pPr>
        <w:spacing w:after="240" w:line="240" w:lineRule="exact"/>
        <w:rPr>
          <w:rFonts w:eastAsiaTheme="minorEastAsia" w:cstheme="majorBidi"/>
          <w:color w:val="000000" w:themeColor="text1"/>
          <w:lang w:val="es-419"/>
        </w:rPr>
      </w:pPr>
      <w:r>
        <w:rPr>
          <w:lang w:val="es-ES"/>
        </w:rPr>
        <w:t xml:space="preserve">2.3.3.1.2. </w:t>
      </w:r>
      <w:r w:rsidR="00611412" w:rsidRPr="00611412">
        <w:rPr>
          <w:i/>
          <w:iCs/>
          <w:lang w:val="es-ES"/>
        </w:rPr>
        <w:t>Descripción de la verificación</w:t>
      </w:r>
      <w:r>
        <w:rPr>
          <w:lang w:val="es-ES"/>
        </w:rPr>
        <w:t xml:space="preserve"> </w:t>
      </w:r>
    </w:p>
    <w:p w14:paraId="4B96974A" w14:textId="6AB1F068" w:rsidR="003E5D1B" w:rsidRPr="008357EA" w:rsidRDefault="00E26782">
      <w:pPr>
        <w:spacing w:after="240" w:line="240" w:lineRule="exact"/>
        <w:rPr>
          <w:rFonts w:eastAsiaTheme="minorEastAsia" w:cstheme="majorBidi"/>
          <w:color w:val="000000" w:themeColor="text1"/>
          <w:lang w:val="es-419"/>
        </w:rPr>
      </w:pPr>
      <w:r>
        <w:rPr>
          <w:lang w:val="es-ES"/>
        </w:rPr>
        <w:t xml:space="preserve">En general, los </w:t>
      </w:r>
      <w:r w:rsidR="00A95DEF">
        <w:rPr>
          <w:lang w:val="es-ES"/>
        </w:rPr>
        <w:t>CMRE</w:t>
      </w:r>
      <w:r>
        <w:rPr>
          <w:lang w:val="es-ES"/>
        </w:rPr>
        <w:t xml:space="preserve"> que hacen predicciones numéricas del tiempo determinísticas a escala mundial disponen de procesos automatizados para calcular las estadísticas de verificación de forma diaria o en cada ejecución. Una vez finalizado el mes, las estadísticas diarias se compilan en promedios mensuales. Los índices diarios y los mensuales se cargan en el sitio ftp del Centro Principal. En las normas de verificación se establece el uso de fórmulas matemáticamente correctas para calcular los promedios. Con esto se modifica lo que se establecía en las normas anteriores, donde se </w:t>
      </w:r>
      <w:r w:rsidR="00BC5621">
        <w:rPr>
          <w:lang w:val="es-ES"/>
        </w:rPr>
        <w:t>indicaba que se debía hacer</w:t>
      </w:r>
      <w:r>
        <w:rPr>
          <w:lang w:val="es-ES"/>
        </w:rPr>
        <w:t xml:space="preserve"> un promedio aritmético simple de los índices diarios. Muchas de las estadísticas (por ejemplo, errores cuadráticos medios, correlaciones) no son lineales y es necesario transformarlos en una medida lineal adecuada antes de hacer el promedio, como se describe en el apéndice 2.2.34 del </w:t>
      </w:r>
      <w:r w:rsidR="00B36420" w:rsidRPr="00B36420">
        <w:rPr>
          <w:i/>
          <w:iCs/>
          <w:lang w:val="es-ES"/>
        </w:rPr>
        <w:t>Manual del GDPFS</w:t>
      </w:r>
      <w:r>
        <w:rPr>
          <w:lang w:val="es-ES"/>
        </w:rPr>
        <w:t xml:space="preserve">. </w:t>
      </w:r>
    </w:p>
    <w:p w14:paraId="6B36C26E" w14:textId="4859469D" w:rsidR="003E5D1B" w:rsidRPr="008357EA" w:rsidRDefault="00E26782">
      <w:pPr>
        <w:spacing w:after="240" w:line="240" w:lineRule="exact"/>
        <w:rPr>
          <w:rFonts w:eastAsiaTheme="minorEastAsia" w:cstheme="majorBidi"/>
          <w:color w:val="000000" w:themeColor="text1"/>
          <w:lang w:val="es-419"/>
        </w:rPr>
      </w:pPr>
      <w:r>
        <w:rPr>
          <w:lang w:val="es-ES"/>
        </w:rPr>
        <w:t xml:space="preserve">Obsérvese que, en el caso de los campos en altitud, los datos de verificación se intercambian </w:t>
      </w:r>
      <w:r w:rsidR="001B0C5A">
        <w:rPr>
          <w:lang w:val="es-ES"/>
        </w:rPr>
        <w:t>en relación con dominios y abarcan</w:t>
      </w:r>
      <w:r>
        <w:rPr>
          <w:lang w:val="es-ES"/>
        </w:rPr>
        <w:t xml:space="preserve"> todo el planeta. En el caso de los campos en superficie, en cambio, los datos de verificación se intercambian por estación, lo que permite a los usuarios de los datos seleccionar conjuntos de estaciones y comparar el desempeño de los modelos según criterios de interés, por ejemplo, por dominios geográficamente homogéneos, como zonas costeras, llanuras o zonas montañosas. </w:t>
      </w:r>
    </w:p>
    <w:p w14:paraId="2ECDD9EB" w14:textId="1D0FE6F0" w:rsidR="003E5D1B" w:rsidRPr="008357EA" w:rsidRDefault="00E26782">
      <w:pPr>
        <w:spacing w:after="240" w:line="240" w:lineRule="exact"/>
        <w:rPr>
          <w:rFonts w:eastAsiaTheme="minorEastAsia" w:cstheme="majorBidi"/>
          <w:color w:val="000000" w:themeColor="text1"/>
          <w:lang w:val="es-419"/>
        </w:rPr>
      </w:pPr>
      <w:r>
        <w:rPr>
          <w:lang w:val="es-ES"/>
        </w:rPr>
        <w:t xml:space="preserve">Las predicciones en altitud se verifican respecto de las observaciones de radiosonda; los campos en superficie se verifican respecto de las observaciones </w:t>
      </w:r>
      <w:r w:rsidR="00061F8F">
        <w:rPr>
          <w:lang w:val="es-ES"/>
        </w:rPr>
        <w:t xml:space="preserve">en </w:t>
      </w:r>
      <w:r w:rsidR="00061F8F" w:rsidRPr="00061F8F">
        <w:rPr>
          <w:lang w:val="es-ES"/>
        </w:rPr>
        <w:t>clave sinóptica internacional</w:t>
      </w:r>
      <w:r w:rsidR="00061F8F">
        <w:rPr>
          <w:lang w:val="es-ES"/>
        </w:rPr>
        <w:t xml:space="preserve"> (</w:t>
      </w:r>
      <w:r>
        <w:rPr>
          <w:lang w:val="es-ES"/>
        </w:rPr>
        <w:t>SYNOP</w:t>
      </w:r>
      <w:r w:rsidR="00061F8F">
        <w:rPr>
          <w:lang w:val="es-ES"/>
        </w:rPr>
        <w:t>)</w:t>
      </w:r>
      <w:r>
        <w:rPr>
          <w:lang w:val="es-ES"/>
        </w:rPr>
        <w:t xml:space="preserve">. Sin embargo, hay otros tipos de observaciones, como las METAR, las AMDAR y los datos obtenidos por satélite a escala mundial, entre otros, y, a medida que la resolución de los modelos aumenta, es posible que cada vez resulte más interesante que en la verificación se usen datos observacionales de alta resolución. </w:t>
      </w:r>
    </w:p>
    <w:p w14:paraId="2A2DCBD6" w14:textId="29AE98E0" w:rsidR="003E5D1B" w:rsidRPr="008357EA" w:rsidRDefault="00E26782">
      <w:pPr>
        <w:spacing w:after="240" w:line="240" w:lineRule="exact"/>
        <w:rPr>
          <w:rFonts w:eastAsiaTheme="minorEastAsia" w:cstheme="majorBidi"/>
          <w:color w:val="000000" w:themeColor="text1"/>
          <w:lang w:val="es-419"/>
        </w:rPr>
      </w:pPr>
      <w:r>
        <w:rPr>
          <w:lang w:val="es-ES"/>
        </w:rPr>
        <w:t>Con respecto a las observaciones de radiosonda, a los efectos de la verificación se considera que estas se realizan en un punto fijo en el espacio y en el tiempo. Debido al tiempo y a la distancia que una radiosonda recorre, dada la resolución actual y futura de los modelos, es posible que, a niveles suficientemente altos de la atmósfera, la radiosonda se haya desviado varios puntos reticulares respecto de su punto de partida</w:t>
      </w:r>
      <w:r w:rsidR="0038717F">
        <w:rPr>
          <w:lang w:val="es-ES"/>
        </w:rPr>
        <w:t xml:space="preserve">. </w:t>
      </w:r>
      <w:r>
        <w:rPr>
          <w:lang w:val="es-ES"/>
        </w:rPr>
        <w:t>Por tanto, considerar la observación como realizada en un punto fijo lleva a que los resultados de la verificación tengan un cierto grado de error. Migrar los datos observacionales desde el formato de las claves alfanuméricas tradicionales (TAC) al de la forma binaria universal de representación de datos meteorológicos (BUFR) permite determinar más correctamente la ubicación de las observaciones, y esos datos se incluyen en la asimilación de los modelos modernos de predicción numérica del tiempo</w:t>
      </w:r>
      <w:r w:rsidR="0038717F">
        <w:rPr>
          <w:lang w:val="es-ES"/>
        </w:rPr>
        <w:t xml:space="preserve">. </w:t>
      </w:r>
      <w:r>
        <w:rPr>
          <w:lang w:val="es-ES"/>
        </w:rPr>
        <w:t xml:space="preserve">Es probable que en algún momento se modifiquen las normas para que en la verificación se tenga en cuenta el desplazamiento de las radiosondas. </w:t>
      </w:r>
    </w:p>
    <w:p w14:paraId="39F1A4D0" w14:textId="4CD85BB5" w:rsidR="003E5D1B" w:rsidRPr="008357EA" w:rsidRDefault="00E26782">
      <w:pPr>
        <w:spacing w:after="240" w:line="240" w:lineRule="exact"/>
        <w:rPr>
          <w:rFonts w:eastAsiaTheme="minorEastAsia" w:cstheme="majorBidi"/>
          <w:color w:val="000000" w:themeColor="text1"/>
          <w:lang w:val="es-419"/>
        </w:rPr>
      </w:pPr>
      <w:r>
        <w:rPr>
          <w:lang w:val="es-ES"/>
        </w:rPr>
        <w:lastRenderedPageBreak/>
        <w:t xml:space="preserve">2.3.3.1.3. </w:t>
      </w:r>
      <w:r w:rsidRPr="009A595B">
        <w:rPr>
          <w:i/>
          <w:iCs/>
          <w:lang w:val="es-ES"/>
        </w:rPr>
        <w:t xml:space="preserve">Mecanismo de interacción entre el Centro Principal de Verificación de la Predicción Numérica del Tiempo Determinística y los </w:t>
      </w:r>
      <w:r w:rsidR="00A95DEF" w:rsidRPr="009A595B">
        <w:rPr>
          <w:i/>
          <w:iCs/>
          <w:lang w:val="es-ES"/>
        </w:rPr>
        <w:t>CMRE</w:t>
      </w:r>
      <w:r w:rsidRPr="009A595B">
        <w:rPr>
          <w:i/>
          <w:iCs/>
          <w:lang w:val="es-ES"/>
        </w:rPr>
        <w:t xml:space="preserve"> que se ocupan de ese tipo de predicción</w:t>
      </w:r>
      <w:r w:rsidR="008A0940">
        <w:rPr>
          <w:i/>
          <w:iCs/>
          <w:lang w:val="es-ES"/>
        </w:rPr>
        <w:t xml:space="preserve"> a escala mundial</w:t>
      </w:r>
      <w:r w:rsidRPr="009A595B">
        <w:rPr>
          <w:i/>
          <w:iCs/>
          <w:lang w:val="es-ES"/>
        </w:rPr>
        <w:t xml:space="preserve"> </w:t>
      </w:r>
    </w:p>
    <w:p w14:paraId="064C91C3" w14:textId="6597785E" w:rsidR="003E5D1B" w:rsidRPr="008357EA" w:rsidRDefault="00E26782">
      <w:pPr>
        <w:spacing w:after="240" w:line="240" w:lineRule="exact"/>
        <w:rPr>
          <w:rFonts w:eastAsiaTheme="minorEastAsia" w:cstheme="majorBidi"/>
          <w:color w:val="000000" w:themeColor="text1"/>
          <w:lang w:val="es-419"/>
        </w:rPr>
      </w:pPr>
      <w:r>
        <w:rPr>
          <w:lang w:val="es-ES"/>
        </w:rPr>
        <w:t xml:space="preserve">Los </w:t>
      </w:r>
      <w:r w:rsidR="006753E1">
        <w:rPr>
          <w:lang w:val="es-ES"/>
        </w:rPr>
        <w:t>CMN</w:t>
      </w:r>
      <w:r>
        <w:rPr>
          <w:lang w:val="es-ES"/>
        </w:rPr>
        <w:t xml:space="preserve"> pueden beneficiarse de los resultados de la verificación que el Centro Principal de Verificación de la Predicción Numérica del Tiempo Determinística compila y pone a disposición en su sitio web (https://apps.ecmwf.int/wmolcdnv/). Ese sitio web contiene toda la información pertinente relacionada con el intercambio, así como un sitio ftp en el que los centros participantes pueden cargar sus datos en un archivo de formato csv (valores separados por comas) legible por máquina. Esos archivos que contienen datos auxiliares (climatología y listas de observaciones) también se pueden descargar</w:t>
      </w:r>
      <w:r w:rsidR="0038717F">
        <w:rPr>
          <w:lang w:val="es-ES"/>
        </w:rPr>
        <w:t xml:space="preserve">. </w:t>
      </w:r>
      <w:r>
        <w:rPr>
          <w:lang w:val="es-ES"/>
        </w:rPr>
        <w:t>Al sitio ftp se accede mediante contraseña, que puede obtenerse poniéndose en contacto con el Centro Principal, según las instrucciones que figuran en el sitio web.</w:t>
      </w:r>
    </w:p>
    <w:p w14:paraId="4280A348" w14:textId="39475114" w:rsidR="003E5D1B" w:rsidRPr="008357EA" w:rsidRDefault="00E26782">
      <w:pPr>
        <w:spacing w:after="240" w:line="240" w:lineRule="exact"/>
        <w:rPr>
          <w:rFonts w:eastAsiaTheme="minorEastAsia" w:cstheme="majorBidi"/>
          <w:color w:val="000000" w:themeColor="text1"/>
          <w:lang w:val="es-419"/>
        </w:rPr>
      </w:pPr>
      <w:r>
        <w:rPr>
          <w:lang w:val="es-ES"/>
        </w:rPr>
        <w:t xml:space="preserve">Se anima a los </w:t>
      </w:r>
      <w:r w:rsidR="006753E1">
        <w:rPr>
          <w:lang w:val="es-ES"/>
        </w:rPr>
        <w:t>CMN</w:t>
      </w:r>
      <w:r>
        <w:rPr>
          <w:lang w:val="es-ES"/>
        </w:rPr>
        <w:t xml:space="preserve"> que hacen predicciones numéricas del tiempo determinísticas a escala mundial a que verifiquen sus resultados utilizando los procedimientos normalizados de verificación que se definen en el apéndice 2.2.34 del </w:t>
      </w:r>
      <w:r w:rsidR="002D6434" w:rsidRPr="002D6434">
        <w:rPr>
          <w:i/>
          <w:iCs/>
          <w:lang w:val="es-ES"/>
        </w:rPr>
        <w:t>Manual del Sistema Mundial de Proceso de Datos y de Predicción</w:t>
      </w:r>
      <w:r>
        <w:rPr>
          <w:lang w:val="es-ES"/>
        </w:rPr>
        <w:t xml:space="preserve"> (</w:t>
      </w:r>
      <w:r w:rsidR="00EB4587">
        <w:rPr>
          <w:lang w:val="es-ES"/>
        </w:rPr>
        <w:t>OMM</w:t>
      </w:r>
      <w:r w:rsidR="00EB4587">
        <w:rPr>
          <w:lang w:val="es-ES"/>
        </w:rPr>
        <w:noBreakHyphen/>
        <w:t>Nº</w:t>
      </w:r>
      <w:r w:rsidR="0093047C">
        <w:rPr>
          <w:lang w:val="es-ES"/>
        </w:rPr>
        <w:t> </w:t>
      </w:r>
      <w:r>
        <w:rPr>
          <w:lang w:val="es-ES"/>
        </w:rPr>
        <w:t xml:space="preserve">485), y a poner los resultados de la verificación a disposición del Centro Principal cargándolos en un sitio ftp que se encuentra en el </w:t>
      </w:r>
      <w:hyperlink r:id="rId58" w:history="1">
        <w:r w:rsidRPr="00BB099E">
          <w:rPr>
            <w:rStyle w:val="Hyperlink"/>
            <w:lang w:val="es-ES"/>
          </w:rPr>
          <w:t>sitio web de dicho Centro</w:t>
        </w:r>
      </w:hyperlink>
      <w:r>
        <w:rPr>
          <w:lang w:val="es-ES"/>
        </w:rPr>
        <w:t xml:space="preserve">. </w:t>
      </w:r>
    </w:p>
    <w:p w14:paraId="5C04D8E5" w14:textId="0FAB14F3" w:rsidR="003E5D1B" w:rsidRPr="008357EA" w:rsidRDefault="00E26782">
      <w:pPr>
        <w:keepNext/>
        <w:spacing w:before="240" w:after="240" w:line="240" w:lineRule="exact"/>
        <w:ind w:left="1123" w:hanging="1123"/>
        <w:outlineLvl w:val="5"/>
        <w:rPr>
          <w:rFonts w:eastAsiaTheme="minorEastAsia" w:cstheme="majorBidi"/>
          <w:b/>
          <w:bCs/>
          <w:i/>
          <w:iCs/>
          <w:color w:val="000000" w:themeColor="text1"/>
          <w:lang w:val="es-419"/>
        </w:rPr>
      </w:pPr>
      <w:bookmarkStart w:id="194" w:name="_Toc113003338"/>
      <w:bookmarkStart w:id="195" w:name="_Toc113024463"/>
      <w:bookmarkStart w:id="196" w:name="_Toc117501994"/>
      <w:r>
        <w:rPr>
          <w:b/>
          <w:bCs/>
          <w:i/>
          <w:iCs/>
          <w:lang w:val="es-ES"/>
        </w:rPr>
        <w:t>2.3.3.2</w:t>
      </w:r>
      <w:r>
        <w:rPr>
          <w:lang w:val="es-ES"/>
        </w:rPr>
        <w:t xml:space="preserve"> </w:t>
      </w:r>
      <w:r>
        <w:rPr>
          <w:b/>
          <w:bCs/>
          <w:i/>
          <w:iCs/>
          <w:lang w:val="es-ES"/>
        </w:rPr>
        <w:t>Coordinación de la verificación del sistema de predicción por conjuntos</w:t>
      </w:r>
      <w:bookmarkEnd w:id="194"/>
      <w:bookmarkEnd w:id="195"/>
      <w:bookmarkEnd w:id="196"/>
    </w:p>
    <w:p w14:paraId="4101BDEE" w14:textId="665FA35E" w:rsidR="003E5D1B" w:rsidRPr="008357EA" w:rsidRDefault="00E26782">
      <w:pPr>
        <w:spacing w:after="240" w:line="240" w:lineRule="exact"/>
        <w:rPr>
          <w:rFonts w:eastAsiaTheme="minorEastAsia" w:cstheme="majorBidi"/>
          <w:color w:val="000000" w:themeColor="text1"/>
          <w:lang w:val="es-419"/>
        </w:rPr>
      </w:pPr>
      <w:r>
        <w:rPr>
          <w:lang w:val="es-ES"/>
        </w:rPr>
        <w:t xml:space="preserve">2.3.3.2.1 </w:t>
      </w:r>
      <w:r w:rsidR="00640C39" w:rsidRPr="00640C39">
        <w:rPr>
          <w:i/>
          <w:iCs/>
          <w:lang w:val="es-ES"/>
        </w:rPr>
        <w:t>Resumen general de la actividad</w:t>
      </w:r>
    </w:p>
    <w:p w14:paraId="7AE02D26" w14:textId="1B49849D" w:rsidR="003E5D1B" w:rsidRPr="008357EA" w:rsidRDefault="00E26782">
      <w:pPr>
        <w:spacing w:after="240" w:line="240" w:lineRule="exact"/>
        <w:rPr>
          <w:rFonts w:eastAsiaTheme="minorEastAsia" w:cstheme="majorBidi"/>
          <w:b/>
          <w:bCs/>
          <w:color w:val="000000" w:themeColor="text1"/>
          <w:lang w:val="es-419"/>
        </w:rPr>
      </w:pPr>
      <w:r>
        <w:rPr>
          <w:lang w:val="es-ES"/>
        </w:rPr>
        <w:t xml:space="preserve">Muchos centros del GDPFS, entre ellos los </w:t>
      </w:r>
      <w:r w:rsidR="00A95DEF">
        <w:rPr>
          <w:lang w:val="es-ES"/>
        </w:rPr>
        <w:t>CMRE</w:t>
      </w:r>
      <w:r>
        <w:rPr>
          <w:lang w:val="es-ES"/>
        </w:rPr>
        <w:t xml:space="preserve"> que se ocupan de los sistemas de predicción por conjuntos, ofrecen tipos similares de productos de predicción numérica del tiempo a escala mundial</w:t>
      </w:r>
      <w:r w:rsidR="0038717F">
        <w:rPr>
          <w:lang w:val="es-ES"/>
        </w:rPr>
        <w:t xml:space="preserve">. </w:t>
      </w:r>
      <w:r>
        <w:rPr>
          <w:lang w:val="es-ES"/>
        </w:rPr>
        <w:t>Para mejorar su utilidad, es importante comprender las características de los productos de los sistemas de predicción por conjuntos en lo que atañe al grado de acierto</w:t>
      </w:r>
      <w:r w:rsidR="0038717F">
        <w:rPr>
          <w:lang w:val="es-ES"/>
        </w:rPr>
        <w:t xml:space="preserve">. </w:t>
      </w:r>
      <w:r>
        <w:rPr>
          <w:lang w:val="es-ES"/>
        </w:rPr>
        <w:t xml:space="preserve">Esta actividad se creó con el propósito de proporcionar a los Miembros información coherente de verificación sobre los sistemas de predicción por conjuntos, y de ayudar a los centros del GDPFS a comparar y mejorar sus productos. </w:t>
      </w:r>
    </w:p>
    <w:p w14:paraId="0530F4E8" w14:textId="23634F99" w:rsidR="003E5D1B" w:rsidRPr="008357EA" w:rsidRDefault="00E26782">
      <w:pPr>
        <w:spacing w:after="240" w:line="240" w:lineRule="exact"/>
        <w:rPr>
          <w:rFonts w:eastAsiaTheme="minorEastAsia" w:cstheme="majorBidi"/>
          <w:b/>
          <w:bCs/>
          <w:color w:val="000000" w:themeColor="text1"/>
          <w:lang w:val="es-419"/>
        </w:rPr>
      </w:pPr>
      <w:r>
        <w:rPr>
          <w:lang w:val="es-ES"/>
        </w:rPr>
        <w:t xml:space="preserve">Los centros designados para coordinar la verificación de los sistemas de predicción por conjuntos (que se conocen con el nombre de Centro Principal de Verificación de los Sistemas de Predicción por Conjuntos) son responsables de mantener un sitio web actualizado que sirva de repositorio de los conjuntos de datos normalizados que se necesitan para llevar a cabo la verificación normalizada, así como de las estadísticas de verificación normalizada proporcionadas por los </w:t>
      </w:r>
      <w:r w:rsidR="00A95DEF">
        <w:rPr>
          <w:lang w:val="es-ES"/>
        </w:rPr>
        <w:t>CMRE</w:t>
      </w:r>
      <w:r>
        <w:rPr>
          <w:lang w:val="es-ES"/>
        </w:rPr>
        <w:t xml:space="preserve"> trabajan con esos sistemas.</w:t>
      </w:r>
    </w:p>
    <w:p w14:paraId="4230238D" w14:textId="1D1C0E39" w:rsidR="003E5D1B" w:rsidRPr="008357EA" w:rsidRDefault="00E26782">
      <w:pPr>
        <w:spacing w:after="240" w:line="240" w:lineRule="exact"/>
        <w:rPr>
          <w:rFonts w:eastAsiaTheme="minorEastAsia" w:cstheme="majorBidi"/>
          <w:b/>
          <w:bCs/>
          <w:color w:val="000000" w:themeColor="text1"/>
          <w:lang w:val="es-419"/>
        </w:rPr>
      </w:pPr>
      <w:r>
        <w:rPr>
          <w:lang w:val="es-ES"/>
        </w:rPr>
        <w:t xml:space="preserve">El conjunto de parámetros de los sistemas de predicción por conjuntos que se ha de verificar se escogió de modo que coincidiera casi por completo con los productos obligatorios de predicción numérica del tiempo determinística a escala mundial que debían </w:t>
      </w:r>
      <w:r w:rsidR="001B350B">
        <w:rPr>
          <w:lang w:val="es-ES"/>
        </w:rPr>
        <w:t>estar disponibles a través del WIS de acuerdo con</w:t>
      </w:r>
      <w:r>
        <w:rPr>
          <w:lang w:val="es-ES"/>
        </w:rPr>
        <w:t xml:space="preserve"> el apéndice 2.2.35 del </w:t>
      </w:r>
      <w:r w:rsidR="00B36420" w:rsidRPr="00B36420">
        <w:rPr>
          <w:i/>
          <w:iCs/>
          <w:lang w:val="es-ES"/>
        </w:rPr>
        <w:t>Manual del GDPFS</w:t>
      </w:r>
      <w:r w:rsidR="0038717F">
        <w:rPr>
          <w:lang w:val="es-ES"/>
        </w:rPr>
        <w:t xml:space="preserve">. </w:t>
      </w:r>
    </w:p>
    <w:p w14:paraId="4BD0A5B3" w14:textId="3C970705" w:rsidR="003E5D1B" w:rsidRPr="008357EA" w:rsidRDefault="00E26782">
      <w:pPr>
        <w:spacing w:after="240" w:line="240" w:lineRule="exact"/>
        <w:rPr>
          <w:rFonts w:eastAsiaTheme="minorEastAsia" w:cstheme="majorBidi"/>
          <w:color w:val="000000" w:themeColor="text1"/>
          <w:lang w:val="es-419"/>
        </w:rPr>
      </w:pPr>
      <w:r>
        <w:rPr>
          <w:lang w:val="es-ES"/>
        </w:rPr>
        <w:t xml:space="preserve">i) </w:t>
      </w:r>
      <w:r w:rsidR="00947A8C" w:rsidRPr="00947A8C">
        <w:rPr>
          <w:i/>
          <w:iCs/>
          <w:lang w:val="es-ES"/>
        </w:rPr>
        <w:t>Centros designados y modalidad de trabajo</w:t>
      </w:r>
    </w:p>
    <w:p w14:paraId="1E7196D3" w14:textId="251F3BC4" w:rsidR="003E5D1B" w:rsidRPr="008357EA" w:rsidRDefault="00E26782">
      <w:pPr>
        <w:spacing w:after="240" w:line="240" w:lineRule="exact"/>
        <w:rPr>
          <w:rFonts w:eastAsia="Calibri" w:cs="Times New Roman"/>
          <w:b/>
          <w:bCs/>
          <w:lang w:val="es-419"/>
        </w:rPr>
      </w:pPr>
      <w:r>
        <w:rPr>
          <w:lang w:val="es-ES"/>
        </w:rPr>
        <w:t xml:space="preserve">El Centro Principal de Verificación de los Sistemas de Predicción por Conjuntos se designó en la 57ª reunión del </w:t>
      </w:r>
      <w:r w:rsidR="00F81A61">
        <w:rPr>
          <w:lang w:val="es-ES"/>
        </w:rPr>
        <w:t>Consejo Ejecutivo</w:t>
      </w:r>
      <w:r>
        <w:rPr>
          <w:lang w:val="es-ES"/>
        </w:rPr>
        <w:t xml:space="preserve"> (2005). Dado que la actividad se refiere a la coordinación en tiempo no real, un centro es suficiente para llevarla a cabo</w:t>
      </w:r>
      <w:r w:rsidR="0038717F">
        <w:rPr>
          <w:lang w:val="es-ES"/>
        </w:rPr>
        <w:t xml:space="preserve">. </w:t>
      </w:r>
      <w:bookmarkStart w:id="197" w:name="_Int_DrLgsfAJ"/>
      <w:bookmarkEnd w:id="197"/>
    </w:p>
    <w:p w14:paraId="06B3EB7B" w14:textId="475121CB" w:rsidR="003E5D1B" w:rsidRPr="008357EA" w:rsidRDefault="00E26782">
      <w:pPr>
        <w:spacing w:after="240" w:line="240" w:lineRule="exact"/>
        <w:rPr>
          <w:rFonts w:eastAsia="Calibri" w:cs="Times New Roman"/>
          <w:b/>
          <w:bCs/>
          <w:lang w:val="es-419"/>
        </w:rPr>
      </w:pPr>
      <w:r>
        <w:rPr>
          <w:lang w:val="es-ES"/>
        </w:rPr>
        <w:t xml:space="preserve">La verificación de los sistemas de predicción por conjuntos es una función que deben desempeñar de forma obligatoria los </w:t>
      </w:r>
      <w:r w:rsidR="00A95DEF">
        <w:rPr>
          <w:lang w:val="es-ES"/>
        </w:rPr>
        <w:t>CMRE</w:t>
      </w:r>
      <w:r>
        <w:rPr>
          <w:lang w:val="es-ES"/>
        </w:rPr>
        <w:t xml:space="preserve"> que trabajan con esos sistemas, que se denominan centros participantes. El cumplimiento se supervisa de acuerdo con los procedimientos descritos en la sección 3.4 de la presente Guía</w:t>
      </w:r>
      <w:r w:rsidR="0038717F">
        <w:rPr>
          <w:lang w:val="es-ES"/>
        </w:rPr>
        <w:t xml:space="preserve">. </w:t>
      </w:r>
      <w:r>
        <w:rPr>
          <w:lang w:val="es-ES"/>
        </w:rPr>
        <w:t xml:space="preserve">Por lo general, esos </w:t>
      </w:r>
      <w:r w:rsidR="00A95DEF">
        <w:rPr>
          <w:lang w:val="es-ES"/>
        </w:rPr>
        <w:t>CMRE</w:t>
      </w:r>
      <w:r>
        <w:rPr>
          <w:lang w:val="es-ES"/>
        </w:rPr>
        <w:t xml:space="preserve"> disponen de procesos automatizados para calcular las estadísticas de verificación de forma diaria o en cada ejecución. Los datos de verificación se cargan mensualmente en el sitio ftp del Centro Principal. Los centros participantes registran una o varias direcciones IP ante el Centro Principal para cargar sus datos. Está previsto que un centro que se dedique a la predicción numérica del tiempo pueda elaborar y cargar </w:t>
      </w:r>
      <w:r>
        <w:rPr>
          <w:lang w:val="es-ES"/>
        </w:rPr>
        <w:lastRenderedPageBreak/>
        <w:t>estadísticas en nombre de otro centro. En esos casos, tanto el centro productor como el centro al que corresponden los datos se identifican con claridad.</w:t>
      </w:r>
    </w:p>
    <w:p w14:paraId="3F5D8475" w14:textId="306AE1ED" w:rsidR="003E5D1B" w:rsidRPr="008357EA" w:rsidRDefault="00E26782">
      <w:pPr>
        <w:spacing w:after="240" w:line="240" w:lineRule="exact"/>
        <w:rPr>
          <w:rFonts w:eastAsia="Calibri" w:cs="Times New Roman"/>
          <w:lang w:val="es-419"/>
        </w:rPr>
      </w:pPr>
      <w:r>
        <w:rPr>
          <w:lang w:val="es-ES"/>
        </w:rPr>
        <w:t xml:space="preserve">ii) </w:t>
      </w:r>
      <w:r w:rsidR="007402A6" w:rsidRPr="007402A6">
        <w:rPr>
          <w:i/>
          <w:iCs/>
          <w:lang w:val="es-ES"/>
        </w:rPr>
        <w:t>Qué beneficios pueden obtener los CMN del Centro Principal y cómo pueden contribuir con él</w:t>
      </w:r>
    </w:p>
    <w:p w14:paraId="01AF4DE1" w14:textId="6711F947" w:rsidR="003E5D1B" w:rsidRPr="008357EA" w:rsidRDefault="00E26782">
      <w:pPr>
        <w:spacing w:after="240" w:line="240" w:lineRule="exact"/>
        <w:rPr>
          <w:rFonts w:eastAsia="Verdana" w:cs="Verdana"/>
          <w:b/>
          <w:bCs/>
          <w:color w:val="751D20"/>
          <w:u w:val="single"/>
          <w:lang w:val="es-419"/>
        </w:rPr>
      </w:pPr>
      <w:r>
        <w:rPr>
          <w:lang w:val="es-ES"/>
        </w:rPr>
        <w:t xml:space="preserve">Los CMN pueden acceder a los resultados de la verificación en el </w:t>
      </w:r>
      <w:hyperlink r:id="rId59" w:history="1">
        <w:r w:rsidRPr="0087057A">
          <w:rPr>
            <w:rStyle w:val="Hyperlink"/>
            <w:lang w:val="es-ES"/>
          </w:rPr>
          <w:t>sitio web del Centro Principal de Verificación de los Sistemas de Predicción por Conjuntos</w:t>
        </w:r>
      </w:hyperlink>
      <w:r>
        <w:rPr>
          <w:lang w:val="es-ES"/>
        </w:rPr>
        <w:t xml:space="preserve"> y en el </w:t>
      </w:r>
      <w:hyperlink r:id="rId60" w:history="1">
        <w:r w:rsidR="00464890" w:rsidRPr="00464890">
          <w:rPr>
            <w:rStyle w:val="Hyperlink"/>
            <w:lang w:val="es-ES"/>
          </w:rPr>
          <w:t>portal web del GDPFS</w:t>
        </w:r>
      </w:hyperlink>
      <w:r>
        <w:rPr>
          <w:lang w:val="es-ES"/>
        </w:rPr>
        <w:t xml:space="preserve">. </w:t>
      </w:r>
    </w:p>
    <w:p w14:paraId="3D4B6E41" w14:textId="3757C203" w:rsidR="003E5D1B" w:rsidRPr="008357EA" w:rsidRDefault="00E26782">
      <w:pPr>
        <w:spacing w:after="240" w:line="240" w:lineRule="exact"/>
        <w:rPr>
          <w:rFonts w:eastAsiaTheme="minorEastAsia" w:cstheme="majorBidi"/>
          <w:color w:val="000000" w:themeColor="text1"/>
          <w:lang w:val="es-419"/>
        </w:rPr>
      </w:pPr>
      <w:r>
        <w:rPr>
          <w:lang w:val="es-ES"/>
        </w:rPr>
        <w:t xml:space="preserve">Los </w:t>
      </w:r>
      <w:r w:rsidR="006753E1">
        <w:rPr>
          <w:lang w:val="es-ES"/>
        </w:rPr>
        <w:t>CMN</w:t>
      </w:r>
      <w:r>
        <w:rPr>
          <w:lang w:val="es-ES"/>
        </w:rPr>
        <w:t xml:space="preserve"> pueden contribuir a la actividad del Centro Principal de las siguientes maneras (enumeración no taxativa): 1) llevando a cabo verificaciones objetivas y proporcionando retroinformación sobre el desempeño de los respectivos sistemas de predicción por conjuntos en sus países, y 2) proporcionando otros datos observacionales para que se utilicen en la verificación.</w:t>
      </w:r>
    </w:p>
    <w:p w14:paraId="11D19254" w14:textId="1D1DF5E0" w:rsidR="003E5D1B" w:rsidRPr="008357EA" w:rsidRDefault="00E26782">
      <w:pPr>
        <w:spacing w:after="240" w:line="240" w:lineRule="exact"/>
        <w:rPr>
          <w:rFonts w:eastAsiaTheme="minorEastAsia" w:cstheme="majorBidi"/>
          <w:color w:val="000000" w:themeColor="text1"/>
          <w:lang w:val="es-419"/>
        </w:rPr>
      </w:pPr>
      <w:r>
        <w:rPr>
          <w:lang w:val="es-ES"/>
        </w:rPr>
        <w:t xml:space="preserve">2.3.3.2.2. </w:t>
      </w:r>
      <w:r w:rsidR="00611412" w:rsidRPr="00611412">
        <w:rPr>
          <w:i/>
          <w:iCs/>
          <w:lang w:val="es-ES"/>
        </w:rPr>
        <w:t>Descripción de la verificación</w:t>
      </w:r>
    </w:p>
    <w:p w14:paraId="2FE75B69" w14:textId="1D3B6452" w:rsidR="003E5D1B" w:rsidRPr="008357EA" w:rsidRDefault="00E26782">
      <w:pPr>
        <w:spacing w:after="240" w:line="240" w:lineRule="exact"/>
        <w:rPr>
          <w:rFonts w:eastAsiaTheme="minorEastAsia" w:cstheme="majorBidi"/>
          <w:b/>
          <w:bCs/>
          <w:color w:val="000000" w:themeColor="text1"/>
          <w:lang w:val="es-419"/>
        </w:rPr>
      </w:pPr>
      <w:r>
        <w:rPr>
          <w:lang w:val="es-ES"/>
        </w:rPr>
        <w:t xml:space="preserve">El documento de directrices disponible en el sitio web del Centro Principal de Verificación de los Sistemas de Predicción por Conjuntos ofrece toda la información relativa al intercambio de datos de verificación. La mayoría de los parámetros se verifican en relación con los análisis, excepto la precipitación, que puede verificarse en relación con un análisis indirecto o respecto de observaciones en superficie basadas en la lista de la red de estaciones de observación en superficie del Sistema Mundial de Observación del Clima (GCOS), que figura en la Herramienta de Análisis y Examen de la Capacidad de los Sistemas de Observación (OSCAR). La verificación debe realizarse en el sistema de predicción por conjuntos tal como </w:t>
      </w:r>
      <w:r w:rsidR="006E6057">
        <w:rPr>
          <w:lang w:val="es-ES"/>
        </w:rPr>
        <w:t xml:space="preserve">este </w:t>
      </w:r>
      <w:r>
        <w:rPr>
          <w:lang w:val="es-ES"/>
        </w:rPr>
        <w:t>se utiliza operativamente y como se aconseja a los usuarios que lo utilicen; eso supone, por ejemplo, usar conjuntos de dos o más ciclos para crear un conjunto de datos mayor</w:t>
      </w:r>
      <w:r w:rsidR="0038717F">
        <w:rPr>
          <w:lang w:val="es-ES"/>
        </w:rPr>
        <w:t xml:space="preserve">. </w:t>
      </w:r>
    </w:p>
    <w:p w14:paraId="59AA9C24" w14:textId="43DBF7BF" w:rsidR="003E5D1B" w:rsidRPr="008357EA" w:rsidRDefault="00E26782">
      <w:pPr>
        <w:spacing w:after="240" w:line="240" w:lineRule="exact"/>
        <w:rPr>
          <w:rFonts w:eastAsiaTheme="minorEastAsia" w:cstheme="majorBidi"/>
          <w:b/>
          <w:bCs/>
          <w:color w:val="000000" w:themeColor="text1"/>
          <w:lang w:val="es-419"/>
        </w:rPr>
      </w:pPr>
      <w:r>
        <w:rPr>
          <w:lang w:val="es-ES"/>
        </w:rPr>
        <w:t>Los datos que deben cargarse consisten en tres conjuntos de tablas, un conjunto de estadísticas determinísticas correspondientes a la media y la dispersión de los conjuntos, tablas de fiabilidad y tablas de índices de probabilidad de clasificación continua. Los datos se promedian en relación con tres áreas: las regiones tropicales</w:t>
      </w:r>
      <w:r w:rsidR="006E6057">
        <w:rPr>
          <w:lang w:val="es-ES"/>
        </w:rPr>
        <w:t>,</w:t>
      </w:r>
      <w:r>
        <w:rPr>
          <w:lang w:val="es-ES"/>
        </w:rPr>
        <w:t xml:space="preserve"> y las regiones extratropicales del hemisferio norte y del hemisferio sur. Existe cierta coordinación con la verificación de la predicción numérica del tiempo determinística en el sentido de que se utiliza una climatología común </w:t>
      </w:r>
      <w:r w:rsidR="00AE516E">
        <w:rPr>
          <w:lang w:val="es-ES"/>
        </w:rPr>
        <w:t xml:space="preserve">para el </w:t>
      </w:r>
      <w:r>
        <w:rPr>
          <w:lang w:val="es-ES"/>
        </w:rPr>
        <w:t xml:space="preserve">coeficiente de correlación entre anomalías, y la misma retícula objetivo </w:t>
      </w:r>
      <w:r w:rsidR="00AE516E">
        <w:rPr>
          <w:lang w:val="es-ES"/>
        </w:rPr>
        <w:t>para</w:t>
      </w:r>
      <w:r>
        <w:rPr>
          <w:lang w:val="es-ES"/>
        </w:rPr>
        <w:t xml:space="preserve"> los índices respecto de los análisis</w:t>
      </w:r>
      <w:r w:rsidR="0038717F">
        <w:rPr>
          <w:lang w:val="es-ES"/>
        </w:rPr>
        <w:t xml:space="preserve">. </w:t>
      </w:r>
    </w:p>
    <w:p w14:paraId="0134F87C" w14:textId="4684A715" w:rsidR="003E5D1B" w:rsidRPr="008357EA" w:rsidRDefault="00E26782">
      <w:pPr>
        <w:spacing w:after="240" w:line="240" w:lineRule="exact"/>
        <w:rPr>
          <w:rFonts w:eastAsia="Calibri" w:cs="Times New Roman"/>
          <w:color w:val="000000" w:themeColor="text1"/>
          <w:lang w:val="es-419"/>
        </w:rPr>
      </w:pPr>
      <w:r>
        <w:rPr>
          <w:lang w:val="es-ES"/>
        </w:rPr>
        <w:t xml:space="preserve">2.3.3.2.3. </w:t>
      </w:r>
      <w:r w:rsidRPr="00E24948">
        <w:rPr>
          <w:i/>
          <w:iCs/>
          <w:lang w:val="es-ES"/>
        </w:rPr>
        <w:t xml:space="preserve">Mecanismo de interacción entre el Centro Principal de Verificación de los Sistemas de Predicción por Conjuntos y los </w:t>
      </w:r>
      <w:r w:rsidR="00A95DEF" w:rsidRPr="00E24948">
        <w:rPr>
          <w:i/>
          <w:iCs/>
          <w:lang w:val="es-ES"/>
        </w:rPr>
        <w:t>CMRE</w:t>
      </w:r>
      <w:r w:rsidRPr="00E24948">
        <w:rPr>
          <w:i/>
          <w:iCs/>
          <w:lang w:val="es-ES"/>
        </w:rPr>
        <w:t xml:space="preserve"> que se ocupan del sistema de predicción por conjuntos a escala mundial</w:t>
      </w:r>
      <w:r>
        <w:rPr>
          <w:lang w:val="es-ES"/>
        </w:rPr>
        <w:t xml:space="preserve"> </w:t>
      </w:r>
    </w:p>
    <w:p w14:paraId="682D53A2" w14:textId="57A65499" w:rsidR="003E5D1B" w:rsidRPr="008357EA" w:rsidRDefault="00E26782">
      <w:pPr>
        <w:spacing w:after="240" w:line="240" w:lineRule="exact"/>
        <w:rPr>
          <w:rFonts w:eastAsia="Calibri" w:cstheme="majorBidi"/>
          <w:color w:val="000000" w:themeColor="text1"/>
          <w:lang w:val="es-419"/>
        </w:rPr>
      </w:pPr>
      <w:r>
        <w:rPr>
          <w:lang w:val="es-ES"/>
        </w:rPr>
        <w:t xml:space="preserve">Los </w:t>
      </w:r>
      <w:r w:rsidR="006753E1">
        <w:rPr>
          <w:lang w:val="es-ES"/>
        </w:rPr>
        <w:t>CMN</w:t>
      </w:r>
      <w:r>
        <w:rPr>
          <w:lang w:val="es-ES"/>
        </w:rPr>
        <w:t xml:space="preserve"> pueden beneficiarse de los resultados de la verificación que el Centro Principal de Verificación de los Sistemas de Predicción por Conjuntos compila y pone a disposición en su </w:t>
      </w:r>
      <w:hyperlink r:id="rId61" w:history="1">
        <w:r w:rsidRPr="00A52903">
          <w:rPr>
            <w:rStyle w:val="Hyperlink"/>
            <w:lang w:val="es-ES"/>
          </w:rPr>
          <w:t>sitio web</w:t>
        </w:r>
      </w:hyperlink>
      <w:r>
        <w:rPr>
          <w:lang w:val="es-ES"/>
        </w:rPr>
        <w:t xml:space="preserve">. Ese sitio web contiene toda la información pertinente relacionada con el intercambio, así como un sitio ftp en el que los centros participantes pueden cargar sus tablas de verificación. El Centro Principal de Verificación de los Sistemas de Predicción por Conjuntos utiliza las tablas para crear representaciones gráficas de los datos y las pone a disposición en el sitio web. Los archivos de datos auxiliares correspondientes a la climatología pueden descargarse del </w:t>
      </w:r>
      <w:hyperlink r:id="rId62" w:history="1">
        <w:r w:rsidRPr="00A52903">
          <w:rPr>
            <w:rStyle w:val="Hyperlink"/>
            <w:lang w:val="es-ES"/>
          </w:rPr>
          <w:t>sitio web del Centro Principal de Verificación de la Predicción Numérica del Tiempo Determinística</w:t>
        </w:r>
      </w:hyperlink>
      <w:r>
        <w:rPr>
          <w:lang w:val="es-ES"/>
        </w:rPr>
        <w:t>. Al sitio ftp del Centro Principal de Verificación de los Sistemas de Predicción por Conjuntos se accede mediante contraseña, que puede obtenerse poniéndose en contacto con el Centro Principal, según las instrucciones que figuran en el sitio web.</w:t>
      </w:r>
    </w:p>
    <w:p w14:paraId="2DEE5C99" w14:textId="2D07B546" w:rsidR="003E5D1B" w:rsidRPr="008357EA" w:rsidRDefault="00E26782">
      <w:pPr>
        <w:spacing w:after="240" w:line="240" w:lineRule="exact"/>
        <w:rPr>
          <w:rFonts w:eastAsiaTheme="majorEastAsia" w:cstheme="majorBidi"/>
          <w:color w:val="000000" w:themeColor="text1"/>
          <w:lang w:val="es-419"/>
        </w:rPr>
      </w:pPr>
      <w:r>
        <w:rPr>
          <w:lang w:val="es-ES"/>
        </w:rPr>
        <w:t xml:space="preserve">Se anima a los </w:t>
      </w:r>
      <w:r w:rsidR="006753E1">
        <w:rPr>
          <w:lang w:val="es-ES"/>
        </w:rPr>
        <w:t>CMN</w:t>
      </w:r>
      <w:r>
        <w:rPr>
          <w:lang w:val="es-ES"/>
        </w:rPr>
        <w:t xml:space="preserve"> que hacen predicciones por conjuntos a escala mundial a que verifiquen sus resultados utilizando los procedimientos normalizados de verificación que se definen en el apéndice 2.2.35 del </w:t>
      </w:r>
      <w:r w:rsidR="00B36420" w:rsidRPr="00B36420">
        <w:rPr>
          <w:i/>
          <w:iCs/>
          <w:lang w:val="es-ES"/>
        </w:rPr>
        <w:t>Manual del GDPFS</w:t>
      </w:r>
      <w:r>
        <w:rPr>
          <w:lang w:val="es-ES"/>
        </w:rPr>
        <w:t xml:space="preserve">, y a poner los resultados de la verificación a disposición del Centro Principal de Verificación de los Sistemas de Predicción por Conjuntos cargándolos en el sitio ftp de dicho Centro. </w:t>
      </w:r>
    </w:p>
    <w:p w14:paraId="2C632A5B" w14:textId="78456C67" w:rsidR="003E5D1B" w:rsidRPr="008357EA" w:rsidRDefault="00E26782">
      <w:pPr>
        <w:keepNext/>
        <w:spacing w:before="240" w:after="240" w:line="240" w:lineRule="exact"/>
        <w:ind w:left="1123" w:hanging="1123"/>
        <w:outlineLvl w:val="5"/>
        <w:rPr>
          <w:rFonts w:eastAsiaTheme="minorEastAsia" w:cstheme="majorBidi"/>
          <w:b/>
          <w:bCs/>
          <w:i/>
          <w:iCs/>
          <w:color w:val="000000" w:themeColor="text1"/>
          <w:lang w:val="es-419"/>
        </w:rPr>
      </w:pPr>
      <w:bookmarkStart w:id="198" w:name="_Toc113003339"/>
      <w:bookmarkStart w:id="199" w:name="_Toc113024464"/>
      <w:bookmarkStart w:id="200" w:name="_Toc117501995"/>
      <w:r>
        <w:rPr>
          <w:b/>
          <w:bCs/>
          <w:i/>
          <w:iCs/>
          <w:lang w:val="es-ES"/>
        </w:rPr>
        <w:lastRenderedPageBreak/>
        <w:t>2.3.3.3</w:t>
      </w:r>
      <w:r>
        <w:rPr>
          <w:lang w:val="es-ES"/>
        </w:rPr>
        <w:t xml:space="preserve"> </w:t>
      </w:r>
      <w:r w:rsidRPr="00A52903">
        <w:rPr>
          <w:b/>
          <w:bCs/>
          <w:lang w:val="es-ES"/>
        </w:rPr>
        <w:t>Coordinación de la verificación de la predicción de las olas</w:t>
      </w:r>
      <w:bookmarkEnd w:id="198"/>
      <w:bookmarkEnd w:id="199"/>
      <w:bookmarkEnd w:id="200"/>
    </w:p>
    <w:p w14:paraId="735CB78D" w14:textId="0F1CAFFB" w:rsidR="003E5D1B" w:rsidRPr="008357EA" w:rsidRDefault="00E26782">
      <w:pPr>
        <w:spacing w:after="240" w:line="240" w:lineRule="exact"/>
        <w:rPr>
          <w:rFonts w:eastAsiaTheme="minorEastAsia" w:cstheme="majorBidi"/>
          <w:color w:val="000000" w:themeColor="text1"/>
          <w:lang w:val="es-419"/>
        </w:rPr>
      </w:pPr>
      <w:r>
        <w:rPr>
          <w:lang w:val="es-ES"/>
        </w:rPr>
        <w:t xml:space="preserve">2.3.3.3.1 </w:t>
      </w:r>
      <w:r w:rsidR="00640C39" w:rsidRPr="00640C39">
        <w:rPr>
          <w:i/>
          <w:iCs/>
          <w:lang w:val="es-ES"/>
        </w:rPr>
        <w:t>Resumen general de la actividad</w:t>
      </w:r>
    </w:p>
    <w:p w14:paraId="46FA9BE6" w14:textId="1B165591" w:rsidR="003E5D1B" w:rsidRPr="008357EA" w:rsidRDefault="00E26782">
      <w:pPr>
        <w:spacing w:after="240" w:line="240" w:lineRule="exact"/>
        <w:rPr>
          <w:rFonts w:eastAsiaTheme="minorEastAsia" w:cstheme="majorBidi"/>
          <w:b/>
          <w:bCs/>
          <w:color w:val="000000" w:themeColor="text1"/>
          <w:lang w:val="es-419"/>
        </w:rPr>
      </w:pPr>
      <w:r>
        <w:rPr>
          <w:lang w:val="es-ES"/>
        </w:rPr>
        <w:t xml:space="preserve">Muchos centros del GDPFS, entre ellos los </w:t>
      </w:r>
      <w:r w:rsidR="00A95DEF">
        <w:rPr>
          <w:lang w:val="es-ES"/>
        </w:rPr>
        <w:t>CMRE</w:t>
      </w:r>
      <w:r>
        <w:rPr>
          <w:lang w:val="es-ES"/>
        </w:rPr>
        <w:t xml:space="preserve"> que hacen predicciones numéricas de las olas oceánicas, ofrecen tipos similares de productos de predicción numérica del tiempo a escala mundial</w:t>
      </w:r>
      <w:r w:rsidR="0038717F">
        <w:rPr>
          <w:lang w:val="es-ES"/>
        </w:rPr>
        <w:t xml:space="preserve">. </w:t>
      </w:r>
      <w:r>
        <w:rPr>
          <w:lang w:val="es-ES"/>
        </w:rPr>
        <w:t>Para mejorar su utilidad, es importante comprender las características de los productos de predicción numérica de las olas oceánicas en lo que atañe al grado de acierto. La intercomparación ordinaria de la verificación de las predicciones de los modelos de olas oceánicas, que antes se llevaba a cabo en el marco de la Comisión Técnica Mixta OMM/COI sobre Oceanografía y Meteorología Marina (CMOMM), se formalizó como actividad en la decimosexta reunión de la Comisión de Sistemas Básicos (2016) con el propósito de proporcionar a los Miembros información coherente de verificación sobre la predicción de olas oceánicas a escala mundial, y de ayudar a los centros del GDPFS a comparar y mejorar sus productos</w:t>
      </w:r>
      <w:r w:rsidR="0038717F">
        <w:rPr>
          <w:lang w:val="es-ES"/>
        </w:rPr>
        <w:t xml:space="preserve">. </w:t>
      </w:r>
    </w:p>
    <w:p w14:paraId="173BB42D" w14:textId="77777777" w:rsidR="003E5D1B" w:rsidRPr="008357EA" w:rsidRDefault="00E26782">
      <w:pPr>
        <w:spacing w:after="240" w:line="240" w:lineRule="exact"/>
        <w:rPr>
          <w:rFonts w:eastAsiaTheme="minorEastAsia" w:cstheme="majorBidi"/>
          <w:b/>
          <w:bCs/>
          <w:color w:val="000000" w:themeColor="text1"/>
          <w:lang w:val="es-419"/>
        </w:rPr>
      </w:pPr>
      <w:r>
        <w:rPr>
          <w:lang w:val="es-ES"/>
        </w:rPr>
        <w:t>Los centros designados para coordinar la verificación de las predicciones de olas (Centros Principales de Verificación de Predicciones de Olas) son responsables de mantener un sitio web actualizado que sirva de repositorio de los conjuntos de datos normalizados que se necesitan para llevar a cabo la verificación normalizada, así como de las estadísticas de verificación normalizada proporcionadas por esos centros.</w:t>
      </w:r>
    </w:p>
    <w:p w14:paraId="687BF238" w14:textId="56761CC9" w:rsidR="003E5D1B" w:rsidRPr="008357EA" w:rsidRDefault="00E26782">
      <w:pPr>
        <w:spacing w:after="240" w:line="240" w:lineRule="exact"/>
        <w:rPr>
          <w:rFonts w:eastAsia="Calibri" w:cs="Times New Roman"/>
          <w:color w:val="000000" w:themeColor="text1"/>
          <w:lang w:val="es-419"/>
        </w:rPr>
      </w:pPr>
      <w:r>
        <w:rPr>
          <w:lang w:val="es-ES"/>
        </w:rPr>
        <w:t xml:space="preserve">El conjunto de parámetros de predicción numérica del tiempo que se ha de verificar se escogió de modo que coincidiera casi por completo con los productos obligatorios y especialmente recomendados de predicción numérica de las olas oceánicas que debían </w:t>
      </w:r>
      <w:r w:rsidR="001B350B">
        <w:rPr>
          <w:lang w:val="es-ES"/>
        </w:rPr>
        <w:t>estar disponibles a través del WIS de acuerdo con</w:t>
      </w:r>
      <w:r>
        <w:rPr>
          <w:lang w:val="es-ES"/>
        </w:rPr>
        <w:t xml:space="preserve"> el apéndice 2.2.11 del </w:t>
      </w:r>
      <w:r w:rsidR="00B36420" w:rsidRPr="00B36420">
        <w:rPr>
          <w:i/>
          <w:iCs/>
          <w:lang w:val="es-ES"/>
        </w:rPr>
        <w:t>Manual del GDPFS</w:t>
      </w:r>
      <w:r>
        <w:rPr>
          <w:lang w:val="es-ES"/>
        </w:rPr>
        <w:t>.</w:t>
      </w:r>
    </w:p>
    <w:p w14:paraId="7608404F" w14:textId="3BFFBB92" w:rsidR="003E5D1B" w:rsidRPr="008357EA" w:rsidRDefault="00E26782">
      <w:pPr>
        <w:spacing w:after="240" w:line="240" w:lineRule="exact"/>
        <w:rPr>
          <w:rFonts w:eastAsiaTheme="minorEastAsia" w:cstheme="majorBidi"/>
          <w:color w:val="000000" w:themeColor="text1"/>
          <w:lang w:val="es-419"/>
        </w:rPr>
      </w:pPr>
      <w:r>
        <w:rPr>
          <w:lang w:val="es-ES"/>
        </w:rPr>
        <w:t xml:space="preserve">i) </w:t>
      </w:r>
      <w:r w:rsidR="00947A8C" w:rsidRPr="00947A8C">
        <w:rPr>
          <w:i/>
          <w:iCs/>
          <w:lang w:val="es-ES"/>
        </w:rPr>
        <w:t>Centros designados y modalidad de trabajo</w:t>
      </w:r>
    </w:p>
    <w:p w14:paraId="3597FB1B" w14:textId="759F2ECC" w:rsidR="003E5D1B" w:rsidRPr="008357EA" w:rsidRDefault="00E26782">
      <w:pPr>
        <w:spacing w:after="240" w:line="240" w:lineRule="exact"/>
        <w:rPr>
          <w:rFonts w:eastAsiaTheme="minorEastAsia" w:cstheme="majorBidi"/>
          <w:b/>
          <w:bCs/>
          <w:color w:val="000000" w:themeColor="text1"/>
          <w:lang w:val="es-419"/>
        </w:rPr>
      </w:pPr>
      <w:r>
        <w:rPr>
          <w:lang w:val="es-ES"/>
        </w:rPr>
        <w:t xml:space="preserve">El Centro Principal de Verificación de Predicciones de Olas se estableció en la 69ª reunión del </w:t>
      </w:r>
      <w:r w:rsidR="00F81A61">
        <w:rPr>
          <w:lang w:val="es-ES"/>
        </w:rPr>
        <w:t>Consejo Ejecutivo</w:t>
      </w:r>
      <w:r>
        <w:rPr>
          <w:lang w:val="es-ES"/>
        </w:rPr>
        <w:t xml:space="preserve"> (2017). Dado que la actividad se refiere a la coordinación en tiempo no real, un centro es suficiente para llevarla a cabo. </w:t>
      </w:r>
    </w:p>
    <w:p w14:paraId="2288FD92" w14:textId="267F4372" w:rsidR="003E5D1B" w:rsidRPr="008357EA" w:rsidRDefault="00E26782">
      <w:pPr>
        <w:spacing w:after="240" w:line="240" w:lineRule="exact"/>
        <w:rPr>
          <w:rFonts w:eastAsiaTheme="minorEastAsia" w:cstheme="majorBidi"/>
          <w:b/>
          <w:bCs/>
          <w:color w:val="000000" w:themeColor="text1"/>
          <w:lang w:val="es-419"/>
        </w:rPr>
      </w:pPr>
      <w:r>
        <w:rPr>
          <w:lang w:val="es-ES"/>
        </w:rPr>
        <w:t xml:space="preserve">La verificación de las predicciones numéricas de olas oceánicas es una función que deben desempeñar de forma obligatoria los </w:t>
      </w:r>
      <w:r w:rsidR="00A95DEF">
        <w:rPr>
          <w:lang w:val="es-ES"/>
        </w:rPr>
        <w:t>CMRE</w:t>
      </w:r>
      <w:r>
        <w:rPr>
          <w:lang w:val="es-ES"/>
        </w:rPr>
        <w:t xml:space="preserve"> que se ocupan de ese tipo de predicción, que se denominan centros participantes</w:t>
      </w:r>
      <w:r w:rsidR="0038717F">
        <w:rPr>
          <w:lang w:val="es-ES"/>
        </w:rPr>
        <w:t xml:space="preserve">. </w:t>
      </w:r>
      <w:r>
        <w:rPr>
          <w:lang w:val="es-ES"/>
        </w:rPr>
        <w:t>El cumplimiento se supervisa de acuerdo con los procedimientos descritos en la sección 3.4 de la presente Guía</w:t>
      </w:r>
      <w:r w:rsidR="0038717F">
        <w:rPr>
          <w:lang w:val="es-ES"/>
        </w:rPr>
        <w:t xml:space="preserve">. </w:t>
      </w:r>
      <w:r>
        <w:rPr>
          <w:lang w:val="es-ES"/>
        </w:rPr>
        <w:t>Los centros participantes son los que anteriormente participaban en la CMOMM elaborando predicciones de olas a escala mundial o de cuenca oceánica. En el Decimoctavo Congreso Meteorológico Mundial y la 30ª reunión de la Asamblea de la Comisión Oceanográfica Intergubernamental (COI) se creó la Junta Mixta de Colaboración OMM-COI, que sustituyó a la CMOMM. El Comité Permanente de Servicios Meteorológicos Marinos y Oceanográficos (SC-MMO), que depende de la Comisión de Aplicaciones y Servicios Meteorológicos, Climáticos, Hidrológicos y Medioambientales Conexos (SERCOM) de la OMM, sustituye a los órganos encargados de gestionar la información relacionada con la coordinación de la verificación de las predicciones de olas</w:t>
      </w:r>
      <w:r w:rsidR="000149CD">
        <w:rPr>
          <w:lang w:val="es-ES"/>
        </w:rPr>
        <w:t>, incluida la designación</w:t>
      </w:r>
      <w:r>
        <w:rPr>
          <w:lang w:val="es-ES"/>
        </w:rPr>
        <w:t>.</w:t>
      </w:r>
    </w:p>
    <w:p w14:paraId="7C749DCE" w14:textId="09FC5B6F" w:rsidR="003E5D1B" w:rsidRPr="008357EA" w:rsidRDefault="00E26782">
      <w:pPr>
        <w:spacing w:after="240" w:line="240" w:lineRule="exact"/>
        <w:rPr>
          <w:rFonts w:eastAsiaTheme="minorEastAsia" w:cstheme="majorBidi"/>
          <w:b/>
          <w:bCs/>
          <w:color w:val="000000" w:themeColor="text1"/>
          <w:lang w:val="es-419"/>
        </w:rPr>
      </w:pPr>
      <w:r>
        <w:rPr>
          <w:lang w:val="es-ES"/>
        </w:rPr>
        <w:t>Los centros participantes solo tienen que facilitar los productos de predicción al Centro Principal</w:t>
      </w:r>
      <w:r w:rsidR="00A26D79" w:rsidRPr="00A26D79">
        <w:rPr>
          <w:lang w:val="es-ES"/>
        </w:rPr>
        <w:t xml:space="preserve"> </w:t>
      </w:r>
      <w:r w:rsidR="00A26D79">
        <w:rPr>
          <w:lang w:val="es-ES"/>
        </w:rPr>
        <w:t>de Verificación de Predicciones de Olas</w:t>
      </w:r>
      <w:r>
        <w:rPr>
          <w:lang w:val="es-ES"/>
        </w:rPr>
        <w:t>, en el formato grib2 de la OMM</w:t>
      </w:r>
      <w:r w:rsidR="0038717F">
        <w:rPr>
          <w:lang w:val="es-ES"/>
        </w:rPr>
        <w:t xml:space="preserve">. </w:t>
      </w:r>
      <w:r>
        <w:rPr>
          <w:lang w:val="es-ES"/>
        </w:rPr>
        <w:t>El Centro Principal extrae los datos de un sitio ftp acordado, y luego coteja los datos de las predicciones con los puntos de observación y calcula las estadísticas de verificación</w:t>
      </w:r>
      <w:r w:rsidR="0038717F">
        <w:rPr>
          <w:lang w:val="es-ES"/>
        </w:rPr>
        <w:t xml:space="preserve">. </w:t>
      </w:r>
      <w:r>
        <w:rPr>
          <w:lang w:val="es-ES"/>
        </w:rPr>
        <w:t>Después publica gráficos de intercomparación</w:t>
      </w:r>
      <w:r w:rsidR="003D6F52" w:rsidRPr="003D6F52">
        <w:rPr>
          <w:lang w:val="es-ES"/>
        </w:rPr>
        <w:t xml:space="preserve"> </w:t>
      </w:r>
      <w:r w:rsidR="003D6F52">
        <w:rPr>
          <w:lang w:val="es-ES"/>
        </w:rPr>
        <w:t>en el sitio web</w:t>
      </w:r>
      <w:r>
        <w:rPr>
          <w:lang w:val="es-ES"/>
        </w:rPr>
        <w:t>, así como los datos numéricos reales de los resultados obtenidos al verificar los sistemas operativos de predicción de olas</w:t>
      </w:r>
      <w:r w:rsidR="0038717F">
        <w:rPr>
          <w:lang w:val="es-ES"/>
        </w:rPr>
        <w:t xml:space="preserve">. </w:t>
      </w:r>
    </w:p>
    <w:p w14:paraId="20D6EAE3" w14:textId="74BD992D" w:rsidR="003E5D1B" w:rsidRPr="008357EA" w:rsidRDefault="00E26782">
      <w:pPr>
        <w:spacing w:after="240" w:line="240" w:lineRule="exact"/>
        <w:rPr>
          <w:rFonts w:eastAsiaTheme="minorEastAsia" w:cstheme="majorBidi"/>
          <w:color w:val="000000" w:themeColor="text1"/>
          <w:lang w:val="es-419"/>
        </w:rPr>
      </w:pPr>
      <w:r>
        <w:rPr>
          <w:lang w:val="es-ES"/>
        </w:rPr>
        <w:t xml:space="preserve">ii) </w:t>
      </w:r>
      <w:r w:rsidR="007402A6" w:rsidRPr="007402A6">
        <w:rPr>
          <w:i/>
          <w:iCs/>
          <w:lang w:val="es-ES"/>
        </w:rPr>
        <w:t>Qué beneficios pueden obtener los CMN del Centro Principal y cómo pueden contribuir con él</w:t>
      </w:r>
    </w:p>
    <w:p w14:paraId="6FFDD476" w14:textId="2CE17411" w:rsidR="003E5D1B" w:rsidRPr="008357EA" w:rsidRDefault="00E26782">
      <w:pPr>
        <w:spacing w:after="240" w:line="240" w:lineRule="exact"/>
        <w:rPr>
          <w:rFonts w:eastAsia="Verdana" w:cs="Verdana"/>
          <w:b/>
          <w:bCs/>
          <w:color w:val="751D20"/>
          <w:u w:val="single"/>
          <w:lang w:val="es-419"/>
        </w:rPr>
      </w:pPr>
      <w:r>
        <w:rPr>
          <w:lang w:val="es-ES"/>
        </w:rPr>
        <w:t xml:space="preserve">Los CMN pueden acceder a los resultados de la verificación en el </w:t>
      </w:r>
      <w:hyperlink r:id="rId63" w:history="1">
        <w:r w:rsidRPr="003E49BE">
          <w:rPr>
            <w:rStyle w:val="Hyperlink"/>
            <w:lang w:val="es-ES"/>
          </w:rPr>
          <w:t>sitio web del Centro Principal</w:t>
        </w:r>
      </w:hyperlink>
      <w:r>
        <w:rPr>
          <w:lang w:val="es-ES"/>
        </w:rPr>
        <w:t xml:space="preserve"> y en el </w:t>
      </w:r>
      <w:hyperlink r:id="rId64" w:history="1">
        <w:r w:rsidR="00464890" w:rsidRPr="00464890">
          <w:rPr>
            <w:rStyle w:val="Hyperlink"/>
            <w:lang w:val="es-ES"/>
          </w:rPr>
          <w:t>portal web del GDPFS</w:t>
        </w:r>
      </w:hyperlink>
      <w:r>
        <w:rPr>
          <w:lang w:val="es-ES"/>
        </w:rPr>
        <w:t xml:space="preserve">. </w:t>
      </w:r>
    </w:p>
    <w:p w14:paraId="77CCB670" w14:textId="3B71D23D" w:rsidR="003E5D1B" w:rsidRPr="008357EA" w:rsidRDefault="00E26782">
      <w:pPr>
        <w:spacing w:after="240" w:line="240" w:lineRule="exact"/>
        <w:rPr>
          <w:rFonts w:eastAsia="Verdana" w:cs="Verdana"/>
          <w:b/>
          <w:bCs/>
          <w:color w:val="000000" w:themeColor="text1"/>
          <w:lang w:val="es-419"/>
        </w:rPr>
      </w:pPr>
      <w:r>
        <w:rPr>
          <w:lang w:val="es-ES"/>
        </w:rPr>
        <w:lastRenderedPageBreak/>
        <w:t xml:space="preserve">Los </w:t>
      </w:r>
      <w:r w:rsidR="006753E1">
        <w:rPr>
          <w:lang w:val="es-ES"/>
        </w:rPr>
        <w:t>CMN</w:t>
      </w:r>
      <w:r>
        <w:rPr>
          <w:lang w:val="es-ES"/>
        </w:rPr>
        <w:t xml:space="preserve"> pueden contribuir a la actividad del Centro Principal de las siguientes maneras (enumeración no taxativa): 1) llevando a cabo verificaciones objetivas y proporcionando retroinformación sobre el desempeño de los respectivos modelos de predicción de olas en sus zonas de interés, y 2) proporcionando otros datos observacionales para que se utilicen en la verificación.</w:t>
      </w:r>
    </w:p>
    <w:p w14:paraId="037FE565" w14:textId="22576162" w:rsidR="003E5D1B" w:rsidRPr="008357EA" w:rsidRDefault="00E26782">
      <w:pPr>
        <w:spacing w:after="240" w:line="240" w:lineRule="exact"/>
        <w:rPr>
          <w:rFonts w:eastAsiaTheme="minorEastAsia" w:cstheme="majorBidi"/>
          <w:color w:val="000000" w:themeColor="text1"/>
          <w:lang w:val="es-419"/>
        </w:rPr>
      </w:pPr>
      <w:r>
        <w:rPr>
          <w:lang w:val="es-ES"/>
        </w:rPr>
        <w:t xml:space="preserve">2.3.3.3.2. </w:t>
      </w:r>
      <w:r w:rsidR="00611412" w:rsidRPr="00611412">
        <w:rPr>
          <w:i/>
          <w:iCs/>
          <w:lang w:val="es-ES"/>
        </w:rPr>
        <w:t>Descripción de la verificación</w:t>
      </w:r>
    </w:p>
    <w:p w14:paraId="5C900D29" w14:textId="21685C24" w:rsidR="003E5D1B" w:rsidRPr="008357EA" w:rsidRDefault="00E26782">
      <w:pPr>
        <w:spacing w:after="240" w:line="240" w:lineRule="exact"/>
        <w:rPr>
          <w:rFonts w:eastAsiaTheme="minorEastAsia" w:cstheme="majorBidi"/>
          <w:b/>
          <w:bCs/>
          <w:color w:val="000000" w:themeColor="text1"/>
          <w:lang w:val="es-419"/>
        </w:rPr>
      </w:pPr>
      <w:r>
        <w:rPr>
          <w:lang w:val="es-ES"/>
        </w:rPr>
        <w:t xml:space="preserve">Como se indicó anteriormente en 2.3.3.3.1 i), los centros participantes solo tienen que facilitar al Centro Principal de Verificación de Predicciones de Olas los productos de predicción de los modelos de olas que correspondan, en el formato grib2 de la OMM. Esos productos de predicción son los que figuran como obligatorios en el apéndice 2.2.11 del </w:t>
      </w:r>
      <w:r w:rsidR="00B36420" w:rsidRPr="00B36420">
        <w:rPr>
          <w:i/>
          <w:iCs/>
          <w:lang w:val="es-ES"/>
        </w:rPr>
        <w:t>Manual del GDPFS</w:t>
      </w:r>
      <w:r>
        <w:rPr>
          <w:lang w:val="es-ES"/>
        </w:rPr>
        <w:t>, así como el componente u y v del viento a 10 metros que aparece en la lista de "otros productos muy recomendados"</w:t>
      </w:r>
      <w:r w:rsidR="0038717F">
        <w:rPr>
          <w:lang w:val="es-ES"/>
        </w:rPr>
        <w:t xml:space="preserve">. </w:t>
      </w:r>
    </w:p>
    <w:p w14:paraId="1D55C3F3" w14:textId="0F1CFA2F" w:rsidR="003E5D1B" w:rsidRPr="008357EA" w:rsidRDefault="00976DD3">
      <w:pPr>
        <w:spacing w:after="240" w:line="240" w:lineRule="exact"/>
        <w:rPr>
          <w:rFonts w:eastAsiaTheme="minorEastAsia" w:cstheme="majorBidi"/>
          <w:color w:val="000000" w:themeColor="text1"/>
          <w:lang w:val="es-419"/>
        </w:rPr>
      </w:pPr>
      <w:r>
        <w:rPr>
          <w:lang w:val="es-ES"/>
        </w:rPr>
        <w:t xml:space="preserve">El Centro Principal de Verificación de Predicciones de Olas coteja los datos de las predicciones con las observaciones, y calcula las estadísticas de verificación en consecuencia. Entre los resultados disponibles en el sitio web </w:t>
      </w:r>
      <w:r w:rsidR="003C07D2">
        <w:rPr>
          <w:lang w:val="es-ES"/>
        </w:rPr>
        <w:t>de ese</w:t>
      </w:r>
      <w:r>
        <w:rPr>
          <w:lang w:val="es-ES"/>
        </w:rPr>
        <w:t xml:space="preserve"> Centro Principal se encuentran la verificación de las predicciones de hasta 5 días relativas a la altura significativa de las olas, el período máximo de olas y la velocidad del viento, por estación, así como series temporales a más largo plazo correspondientes a determinadas horas de predicción, en varias cuencas oceánicas de todo el mundo</w:t>
      </w:r>
      <w:r w:rsidR="0038717F">
        <w:rPr>
          <w:lang w:val="es-ES"/>
        </w:rPr>
        <w:t xml:space="preserve">. </w:t>
      </w:r>
      <w:r>
        <w:rPr>
          <w:lang w:val="es-ES"/>
        </w:rPr>
        <w:t>Los resultados se presentan en forma de estudios de intercomparación de modelos</w:t>
      </w:r>
      <w:r w:rsidR="0038717F">
        <w:rPr>
          <w:lang w:val="es-ES"/>
        </w:rPr>
        <w:t xml:space="preserve">. </w:t>
      </w:r>
    </w:p>
    <w:p w14:paraId="7E4B03E3" w14:textId="180B2678" w:rsidR="003E5D1B" w:rsidRPr="008357EA" w:rsidRDefault="00E26782">
      <w:pPr>
        <w:spacing w:after="240" w:line="240" w:lineRule="exact"/>
        <w:rPr>
          <w:rFonts w:eastAsiaTheme="minorEastAsia" w:cstheme="majorBidi"/>
          <w:color w:val="000000" w:themeColor="text1"/>
          <w:lang w:val="es-419"/>
        </w:rPr>
      </w:pPr>
      <w:r>
        <w:rPr>
          <w:lang w:val="es-ES"/>
        </w:rPr>
        <w:t xml:space="preserve">2.3.3.3.3. </w:t>
      </w:r>
      <w:r w:rsidRPr="001809F7">
        <w:rPr>
          <w:i/>
          <w:iCs/>
          <w:lang w:val="es-ES"/>
        </w:rPr>
        <w:t xml:space="preserve">Mecanismo de interacción entre el Centro Principal de Verificación de Predicciones de Olas y los </w:t>
      </w:r>
      <w:r w:rsidR="00A95DEF" w:rsidRPr="001809F7">
        <w:rPr>
          <w:i/>
          <w:iCs/>
          <w:lang w:val="es-ES"/>
        </w:rPr>
        <w:t>CMRE</w:t>
      </w:r>
      <w:r w:rsidRPr="001809F7">
        <w:rPr>
          <w:i/>
          <w:iCs/>
          <w:lang w:val="es-ES"/>
        </w:rPr>
        <w:t xml:space="preserve"> que se ocupan de la predicción numérica de las olas oceánicas a escala mundial</w:t>
      </w:r>
      <w:r>
        <w:rPr>
          <w:lang w:val="es-ES"/>
        </w:rPr>
        <w:t xml:space="preserve"> </w:t>
      </w:r>
    </w:p>
    <w:p w14:paraId="1EE107AA" w14:textId="1D796377" w:rsidR="003E5D1B" w:rsidRPr="008357EA" w:rsidRDefault="00E26782">
      <w:pPr>
        <w:spacing w:after="240" w:line="240" w:lineRule="exact"/>
        <w:rPr>
          <w:rFonts w:eastAsiaTheme="minorEastAsia" w:cstheme="majorBidi"/>
          <w:color w:val="000000" w:themeColor="text1"/>
          <w:lang w:val="es-419"/>
        </w:rPr>
      </w:pPr>
      <w:r>
        <w:rPr>
          <w:lang w:val="es-ES"/>
        </w:rPr>
        <w:t xml:space="preserve">Los </w:t>
      </w:r>
      <w:r w:rsidR="006753E1">
        <w:rPr>
          <w:lang w:val="es-ES"/>
        </w:rPr>
        <w:t>CMN</w:t>
      </w:r>
      <w:r>
        <w:rPr>
          <w:lang w:val="es-ES"/>
        </w:rPr>
        <w:t xml:space="preserve"> pueden beneficiarse de los resultados de la verificación que el Centro Principal de Verificación de Predicciones de Olas compila y pone a disposición en su </w:t>
      </w:r>
      <w:hyperlink r:id="rId65" w:history="1">
        <w:r w:rsidRPr="00295CE3">
          <w:rPr>
            <w:rStyle w:val="Hyperlink"/>
            <w:lang w:val="es-ES"/>
          </w:rPr>
          <w:t>sitio web</w:t>
        </w:r>
      </w:hyperlink>
      <w:r>
        <w:rPr>
          <w:lang w:val="es-ES"/>
        </w:rPr>
        <w:t>. Ese sitio contiene toda la información pertinente relacionada con el intercambio de datos, por ejemplo, cómo facilitar los datos de las predicciones de olas, y los propios resultados de la verificación</w:t>
      </w:r>
      <w:r w:rsidR="0038717F">
        <w:rPr>
          <w:lang w:val="es-ES"/>
        </w:rPr>
        <w:t xml:space="preserve">. </w:t>
      </w:r>
      <w:r>
        <w:rPr>
          <w:lang w:val="es-ES"/>
        </w:rPr>
        <w:t>También proporciona, en un sitio ftp protegido por contraseña, los datos reales de las predicciones y observaciones efectuadas en un mismo lugar, así como los datos observacionales originales sin procesar. La contraseña puede obtenerse poniéndose en contacto con el Centro Principal, según las instrucciones que figuran en el sitio web.</w:t>
      </w:r>
    </w:p>
    <w:p w14:paraId="39EFC353" w14:textId="0C37E0B7" w:rsidR="003E5D1B" w:rsidRPr="008357EA" w:rsidRDefault="00E26782">
      <w:pPr>
        <w:spacing w:after="240" w:line="240" w:lineRule="exact"/>
        <w:rPr>
          <w:rFonts w:eastAsiaTheme="minorEastAsia" w:cstheme="majorBidi"/>
          <w:color w:val="000000" w:themeColor="text1"/>
          <w:lang w:val="es-419"/>
        </w:rPr>
      </w:pPr>
      <w:r>
        <w:rPr>
          <w:lang w:val="es-ES"/>
        </w:rPr>
        <w:t xml:space="preserve">Se anima a los </w:t>
      </w:r>
      <w:r w:rsidR="006753E1">
        <w:rPr>
          <w:lang w:val="es-ES"/>
        </w:rPr>
        <w:t>CMN</w:t>
      </w:r>
      <w:r>
        <w:rPr>
          <w:lang w:val="es-ES"/>
        </w:rPr>
        <w:t xml:space="preserve"> que trabajan con sistemas de predicción numérica de olas oceánicas a que se coordinen con el Centro Principal de Verificación de Predicciones de Olas a la hora de proporcionar sus predicciones, de modo que dicho Centro pueda verificar los resultados de acuerdo con los procedimientos normalizados de verificación que se definen en el apéndice 2.2.37 del </w:t>
      </w:r>
      <w:r w:rsidR="00B36420" w:rsidRPr="00B36420">
        <w:rPr>
          <w:i/>
          <w:iCs/>
          <w:lang w:val="es-ES"/>
        </w:rPr>
        <w:t>Manual del GDPFS</w:t>
      </w:r>
      <w:r w:rsidR="0038717F">
        <w:rPr>
          <w:lang w:val="es-ES"/>
        </w:rPr>
        <w:t xml:space="preserve">. </w:t>
      </w:r>
    </w:p>
    <w:p w14:paraId="3E251454" w14:textId="76A98588" w:rsidR="003E5D1B" w:rsidRPr="000C1961" w:rsidRDefault="00E26782">
      <w:pPr>
        <w:keepNext/>
        <w:spacing w:before="240" w:after="240" w:line="240" w:lineRule="exact"/>
        <w:ind w:left="1123" w:hanging="1123"/>
        <w:outlineLvl w:val="5"/>
        <w:rPr>
          <w:rFonts w:eastAsiaTheme="minorEastAsia" w:cstheme="majorBidi"/>
          <w:b/>
          <w:bCs/>
          <w:i/>
          <w:iCs/>
          <w:color w:val="000000" w:themeColor="text1"/>
          <w:lang w:val="es-419"/>
        </w:rPr>
      </w:pPr>
      <w:bookmarkStart w:id="201" w:name="_Toc113003340"/>
      <w:bookmarkStart w:id="202" w:name="_Toc113024465"/>
      <w:bookmarkStart w:id="203" w:name="_Toc117501996"/>
      <w:r>
        <w:rPr>
          <w:b/>
          <w:bCs/>
          <w:i/>
          <w:iCs/>
          <w:lang w:val="es-ES"/>
        </w:rPr>
        <w:t>2.3.3.4</w:t>
      </w:r>
      <w:r>
        <w:rPr>
          <w:lang w:val="es-ES"/>
        </w:rPr>
        <w:t xml:space="preserve"> </w:t>
      </w:r>
      <w:r w:rsidRPr="000C1961">
        <w:rPr>
          <w:b/>
          <w:bCs/>
          <w:lang w:val="es-ES"/>
        </w:rPr>
        <w:t>Coordinación de la verificación de la predicción de ciclones tropicales</w:t>
      </w:r>
      <w:bookmarkEnd w:id="201"/>
      <w:bookmarkEnd w:id="202"/>
      <w:bookmarkEnd w:id="203"/>
    </w:p>
    <w:p w14:paraId="2F89B7CD" w14:textId="0E67AEB1" w:rsidR="003E5D1B" w:rsidRPr="008357EA" w:rsidRDefault="00E26782">
      <w:pPr>
        <w:spacing w:after="240" w:line="240" w:lineRule="exact"/>
        <w:rPr>
          <w:rFonts w:eastAsiaTheme="minorEastAsia" w:cstheme="majorBidi"/>
          <w:color w:val="000000" w:themeColor="text1"/>
          <w:lang w:val="es-419"/>
        </w:rPr>
      </w:pPr>
      <w:r>
        <w:rPr>
          <w:lang w:val="es-ES"/>
        </w:rPr>
        <w:t xml:space="preserve">2.3.3.4.1 </w:t>
      </w:r>
      <w:r w:rsidR="00640C39" w:rsidRPr="00640C39">
        <w:rPr>
          <w:i/>
          <w:iCs/>
          <w:lang w:val="es-ES"/>
        </w:rPr>
        <w:t>Resumen general de la actividad</w:t>
      </w:r>
    </w:p>
    <w:p w14:paraId="515D12C8" w14:textId="62F0BF38" w:rsidR="003E5D1B" w:rsidRPr="008357EA" w:rsidRDefault="00E26782">
      <w:pPr>
        <w:spacing w:after="240" w:line="240" w:lineRule="exact"/>
        <w:rPr>
          <w:rFonts w:eastAsiaTheme="minorEastAsia" w:cstheme="majorBidi"/>
          <w:color w:val="000000" w:themeColor="text1"/>
          <w:lang w:val="es-419"/>
        </w:rPr>
      </w:pPr>
      <w:r>
        <w:rPr>
          <w:lang w:val="es-ES"/>
        </w:rPr>
        <w:t xml:space="preserve">Muchos centros del GDPFS, entre ellos los </w:t>
      </w:r>
      <w:r w:rsidR="00A95DEF">
        <w:rPr>
          <w:lang w:val="es-ES"/>
        </w:rPr>
        <w:t>CMRE</w:t>
      </w:r>
      <w:r>
        <w:rPr>
          <w:lang w:val="es-ES"/>
        </w:rPr>
        <w:t xml:space="preserve"> que participan en la predicción numérica del tiempo determinística a escala mundial relativa a los ciclones tropicales, ofrecen tipos similares de productos de predicción numérica del tiempo. Para mejorar su utilidad, es importante comprender las características de los productos de predicción numérica de los ciclones tropicales en lo que atañe al grado de acierto. La intercomparación de los productos relativos a los ciclones tropicales, llevada a cabo por el Servicio Meteorológico del Japón (JMA) desde 1991 en el marco del Grupo de Trabajo sobre Experimentación Numérica (WGNE), se formalizó como actividad con el fin de proporcionar a los Miembros información coherente de verificación sobre los productos de la predicción numérica del tiempo determinística a escala mundial relativa a los ciclones tropicales, y de ayudar a los centros del GDPFS a comparar y mejorar sus productos</w:t>
      </w:r>
      <w:r w:rsidR="0038717F">
        <w:rPr>
          <w:lang w:val="es-ES"/>
        </w:rPr>
        <w:t xml:space="preserve">. </w:t>
      </w:r>
    </w:p>
    <w:p w14:paraId="7AA65E4A" w14:textId="77777777" w:rsidR="003E5D1B" w:rsidRPr="008357EA" w:rsidRDefault="00E26782">
      <w:pPr>
        <w:spacing w:after="240" w:line="240" w:lineRule="exact"/>
        <w:rPr>
          <w:rFonts w:eastAsiaTheme="minorEastAsia" w:cstheme="majorBidi"/>
          <w:color w:val="000000" w:themeColor="text1"/>
          <w:lang w:val="es-419"/>
        </w:rPr>
      </w:pPr>
      <w:r>
        <w:rPr>
          <w:lang w:val="es-ES"/>
        </w:rPr>
        <w:t xml:space="preserve">Los centros designados para coordinar la verificación de las predicciones de ciclones tropicales (Centros Principales de Verificación de Predicciones de Ciclones Tropicales) son responsables de </w:t>
      </w:r>
      <w:r>
        <w:rPr>
          <w:lang w:val="es-ES"/>
        </w:rPr>
        <w:lastRenderedPageBreak/>
        <w:t>mantener un sitio web actualizado que sirva de repositorio de los conjuntos de datos normalizados que se necesitan para llevar a cabo la verificación normalizada, así como de las estadísticas de verificación normalizada proporcionadas.</w:t>
      </w:r>
    </w:p>
    <w:p w14:paraId="5B7C42B4" w14:textId="0BDF32D0" w:rsidR="003E5D1B" w:rsidRPr="008357EA" w:rsidRDefault="00E26782">
      <w:pPr>
        <w:spacing w:after="240" w:line="240" w:lineRule="exact"/>
        <w:rPr>
          <w:rFonts w:eastAsiaTheme="minorEastAsia" w:cstheme="majorBidi"/>
          <w:color w:val="000000" w:themeColor="text1"/>
          <w:lang w:val="es-419"/>
        </w:rPr>
      </w:pPr>
      <w:r>
        <w:rPr>
          <w:lang w:val="es-ES"/>
        </w:rPr>
        <w:t xml:space="preserve">i) </w:t>
      </w:r>
      <w:r w:rsidR="00947A8C" w:rsidRPr="00947A8C">
        <w:rPr>
          <w:i/>
          <w:iCs/>
          <w:lang w:val="es-ES"/>
        </w:rPr>
        <w:t>Centros designados y modalidad de trabajo</w:t>
      </w:r>
    </w:p>
    <w:p w14:paraId="4917DD1D" w14:textId="77777777" w:rsidR="003E5D1B" w:rsidRPr="008357EA" w:rsidRDefault="00E26782">
      <w:pPr>
        <w:spacing w:after="240" w:line="240" w:lineRule="exact"/>
        <w:rPr>
          <w:rFonts w:eastAsiaTheme="minorEastAsia" w:cstheme="majorBidi"/>
          <w:color w:val="000000" w:themeColor="text1"/>
          <w:lang w:val="es-419"/>
        </w:rPr>
      </w:pPr>
      <w:r>
        <w:rPr>
          <w:lang w:val="es-ES"/>
        </w:rPr>
        <w:t>Por el momento no hay ningún Centro Principal de Verificación de Predicciones de Ciclones Tropicales designado formalmente. Dado que la actividad se refiere a la coordinación en tiempo no real, un centro es suficiente para llevarla a cabo.</w:t>
      </w:r>
    </w:p>
    <w:p w14:paraId="338A86B0" w14:textId="71929357" w:rsidR="003E5D1B" w:rsidRPr="008357EA" w:rsidRDefault="00E26782">
      <w:pPr>
        <w:spacing w:after="240" w:line="240" w:lineRule="exact"/>
        <w:rPr>
          <w:rFonts w:eastAsiaTheme="minorEastAsia" w:cstheme="majorBidi"/>
          <w:color w:val="000000" w:themeColor="text1"/>
          <w:lang w:val="es-419"/>
        </w:rPr>
      </w:pPr>
      <w:r>
        <w:rPr>
          <w:lang w:val="es-ES"/>
        </w:rPr>
        <w:t xml:space="preserve">Se recomienda a los centros del GDPFS que elaboran productos de predicción numérica del tiempo que faciliten los datos relativos a la trayectoria de las tormentas tropicales de acuerdo con el apéndice 2.2.1 del </w:t>
      </w:r>
      <w:r w:rsidR="00B36420" w:rsidRPr="00B36420">
        <w:rPr>
          <w:i/>
          <w:iCs/>
          <w:lang w:val="es-ES"/>
        </w:rPr>
        <w:t>Manual del GDPFS</w:t>
      </w:r>
      <w:r>
        <w:rPr>
          <w:lang w:val="es-ES"/>
        </w:rPr>
        <w:t xml:space="preserve">. Puede ser en forma de campos de presión media al nivel del mar en una retícula común de latitud/longitud. Téngase en cuenta asimismo que una función obligatoria de los </w:t>
      </w:r>
      <w:r w:rsidR="00A95DEF">
        <w:rPr>
          <w:lang w:val="es-ES"/>
        </w:rPr>
        <w:t>CMRE</w:t>
      </w:r>
      <w:r>
        <w:rPr>
          <w:lang w:val="es-ES"/>
        </w:rPr>
        <w:t xml:space="preserve"> que hacen predicciones de ciclones tropicales es realizar análisis ulteriores a esos ciclones y facilitar datos sobre las trayectorias</w:t>
      </w:r>
      <w:r w:rsidR="0095419D">
        <w:rPr>
          <w:lang w:val="es-ES"/>
        </w:rPr>
        <w:t xml:space="preserve"> </w:t>
      </w:r>
      <w:r>
        <w:rPr>
          <w:lang w:val="es-ES"/>
        </w:rPr>
        <w:t xml:space="preserve">más verosímiles, de forma anual, de acuerdo con el apartado 2.2.2.6 f) de la parte II del </w:t>
      </w:r>
      <w:r w:rsidR="00B36420" w:rsidRPr="00B36420">
        <w:rPr>
          <w:i/>
          <w:iCs/>
          <w:lang w:val="es-ES"/>
        </w:rPr>
        <w:t>Manual del GDPFS</w:t>
      </w:r>
      <w:r w:rsidR="0038717F">
        <w:rPr>
          <w:lang w:val="es-ES"/>
        </w:rPr>
        <w:t xml:space="preserve">. </w:t>
      </w:r>
    </w:p>
    <w:p w14:paraId="645DF004" w14:textId="26FB5513" w:rsidR="003E5D1B" w:rsidRPr="008357EA" w:rsidRDefault="00E26782">
      <w:pPr>
        <w:spacing w:after="240" w:line="240" w:lineRule="exact"/>
        <w:rPr>
          <w:rFonts w:eastAsiaTheme="minorEastAsia" w:cstheme="majorBidi"/>
          <w:color w:val="000000" w:themeColor="text1"/>
          <w:lang w:val="es-419"/>
        </w:rPr>
      </w:pPr>
      <w:r>
        <w:rPr>
          <w:lang w:val="es-ES"/>
        </w:rPr>
        <w:t xml:space="preserve">ii) </w:t>
      </w:r>
      <w:r w:rsidR="007402A6" w:rsidRPr="007402A6">
        <w:rPr>
          <w:i/>
          <w:iCs/>
          <w:lang w:val="es-ES"/>
        </w:rPr>
        <w:t>Qué beneficios pueden obtener los CMN del Centro Principal y cómo pueden contribuir con él</w:t>
      </w:r>
    </w:p>
    <w:p w14:paraId="02CDC0BE" w14:textId="0C952D10" w:rsidR="003E5D1B" w:rsidRPr="008357EA" w:rsidRDefault="00E26782">
      <w:pPr>
        <w:spacing w:after="240" w:line="240" w:lineRule="exact"/>
        <w:rPr>
          <w:rFonts w:eastAsiaTheme="minorEastAsia" w:cstheme="majorBidi"/>
          <w:color w:val="000000" w:themeColor="text1"/>
          <w:lang w:val="es-419"/>
        </w:rPr>
      </w:pPr>
      <w:r>
        <w:rPr>
          <w:lang w:val="es-ES"/>
        </w:rPr>
        <w:t xml:space="preserve">Los CMN pueden acceder a los resultados de la verificación en el sitio web del Centro Principal y en el </w:t>
      </w:r>
      <w:hyperlink r:id="rId66" w:history="1">
        <w:r w:rsidR="00464890" w:rsidRPr="00464890">
          <w:rPr>
            <w:rStyle w:val="Hyperlink"/>
            <w:lang w:val="es-ES"/>
          </w:rPr>
          <w:t>portal web del GDPFS</w:t>
        </w:r>
      </w:hyperlink>
      <w:r>
        <w:rPr>
          <w:lang w:val="es-ES"/>
        </w:rPr>
        <w:t xml:space="preserve">. </w:t>
      </w:r>
    </w:p>
    <w:p w14:paraId="2A67F318" w14:textId="7D5FAD44" w:rsidR="003E5D1B" w:rsidRPr="008357EA" w:rsidRDefault="00E26782">
      <w:pPr>
        <w:spacing w:after="240" w:line="240" w:lineRule="exact"/>
        <w:rPr>
          <w:rFonts w:eastAsiaTheme="minorEastAsia" w:cstheme="majorBidi"/>
          <w:color w:val="000000" w:themeColor="text1"/>
          <w:lang w:val="es-419"/>
        </w:rPr>
      </w:pPr>
      <w:r>
        <w:rPr>
          <w:lang w:val="es-ES"/>
        </w:rPr>
        <w:t xml:space="preserve">Los </w:t>
      </w:r>
      <w:r w:rsidR="006753E1">
        <w:rPr>
          <w:lang w:val="es-ES"/>
        </w:rPr>
        <w:t>CMN</w:t>
      </w:r>
      <w:r>
        <w:rPr>
          <w:lang w:val="es-ES"/>
        </w:rPr>
        <w:t xml:space="preserve"> pueden contribuir a la actividad del Centro Principal de las siguientes maneras (enumeración no taxativa): 1) facilitando a dicho Centro los resultados relacionados con los ciclones tropicales que obtienen de sus modelos de predicción numérica del tiempo (presión media al nivel del mar y componentes del viento a 850 hPa); 2) llevando a cabo verificaciones objetivas y proporcionando retroinformación sobre el desempeño de los respectivos modelos en sus zonas de interés, y 3) proporcionando otros datos observacionales para que se utilicen en la verificación.</w:t>
      </w:r>
    </w:p>
    <w:p w14:paraId="70E5B0CA" w14:textId="5D20AE9C" w:rsidR="003E5D1B" w:rsidRPr="008357EA" w:rsidRDefault="00E26782">
      <w:pPr>
        <w:spacing w:after="240" w:line="240" w:lineRule="exact"/>
        <w:rPr>
          <w:rFonts w:eastAsiaTheme="minorEastAsia" w:cstheme="majorBidi"/>
          <w:color w:val="000000" w:themeColor="text1"/>
          <w:lang w:val="es-419"/>
        </w:rPr>
      </w:pPr>
      <w:r>
        <w:rPr>
          <w:lang w:val="es-ES"/>
        </w:rPr>
        <w:t xml:space="preserve">2.3.3.4.2 </w:t>
      </w:r>
      <w:r w:rsidR="00611412" w:rsidRPr="00611412">
        <w:rPr>
          <w:i/>
          <w:iCs/>
          <w:lang w:val="es-ES"/>
        </w:rPr>
        <w:t>Descripción de la verificación</w:t>
      </w:r>
    </w:p>
    <w:p w14:paraId="36BC3AC2" w14:textId="74572AB2" w:rsidR="003E5D1B" w:rsidRPr="008357EA" w:rsidRDefault="00E26782">
      <w:pPr>
        <w:spacing w:after="240" w:line="240" w:lineRule="exact"/>
        <w:rPr>
          <w:rFonts w:eastAsiaTheme="minorEastAsia" w:cstheme="majorBidi"/>
          <w:color w:val="000000" w:themeColor="text1"/>
          <w:lang w:val="es-419"/>
        </w:rPr>
      </w:pPr>
      <w:r>
        <w:rPr>
          <w:lang w:val="es-ES"/>
        </w:rPr>
        <w:t xml:space="preserve">El Centro Principal coordina el intercambio de los datos correspondientes a los campos de predicción producidos por los centros participantes que hacen predicciones numéricas del tiempo. Los datos se reciben a través de Internet, en discos duros o por otros medios. El Centro Principal gestiona un servidor web para respaldar el suministro de los resultados de las verificaciones de los </w:t>
      </w:r>
      <w:r w:rsidR="00A95DEF">
        <w:rPr>
          <w:lang w:val="es-ES"/>
        </w:rPr>
        <w:t>CMRE</w:t>
      </w:r>
      <w:r>
        <w:rPr>
          <w:lang w:val="es-ES"/>
        </w:rPr>
        <w:t xml:space="preserve"> participantes. Esos resultados, incluidos los gráficos y los índices sin procesar, están disponibles en ese sitio web, en una sección protegida por contraseña</w:t>
      </w:r>
      <w:r w:rsidR="0038717F">
        <w:rPr>
          <w:lang w:val="es-ES"/>
        </w:rPr>
        <w:t xml:space="preserve">. </w:t>
      </w:r>
    </w:p>
    <w:p w14:paraId="6E26E43D" w14:textId="2A326499" w:rsidR="003E5D1B" w:rsidRPr="008357EA" w:rsidRDefault="00E26782">
      <w:pPr>
        <w:spacing w:after="240" w:line="240" w:lineRule="exact"/>
        <w:rPr>
          <w:rFonts w:eastAsiaTheme="minorEastAsia" w:cstheme="majorBidi"/>
          <w:color w:val="000000" w:themeColor="text1"/>
          <w:lang w:val="es-419"/>
        </w:rPr>
      </w:pPr>
      <w:r>
        <w:rPr>
          <w:lang w:val="es-ES"/>
        </w:rPr>
        <w:t xml:space="preserve">Los métodos de verificación y los índices son los que se describen en el apéndice 2.2.38 del </w:t>
      </w:r>
      <w:r w:rsidR="00B36420" w:rsidRPr="00B36420">
        <w:rPr>
          <w:i/>
          <w:iCs/>
          <w:lang w:val="es-ES"/>
        </w:rPr>
        <w:t>Manual del GDPFS</w:t>
      </w:r>
      <w:r>
        <w:rPr>
          <w:lang w:val="es-ES"/>
        </w:rPr>
        <w:t xml:space="preserve">. </w:t>
      </w:r>
    </w:p>
    <w:p w14:paraId="650EE81A" w14:textId="1428D116" w:rsidR="003E5D1B" w:rsidRPr="008357EA" w:rsidRDefault="00E26782">
      <w:pPr>
        <w:spacing w:after="240" w:line="240" w:lineRule="exact"/>
        <w:rPr>
          <w:rFonts w:eastAsiaTheme="minorEastAsia" w:cstheme="majorBidi"/>
          <w:color w:val="000000" w:themeColor="text1"/>
          <w:lang w:val="es-419"/>
        </w:rPr>
      </w:pPr>
      <w:r>
        <w:rPr>
          <w:lang w:val="es-ES"/>
        </w:rPr>
        <w:t xml:space="preserve">Los índices se calculan solo en relación con las predicciones inicializadas a las 12.00 UTC y de forma independiente para cada una de las seis principales cuencas oceánicas del mundo en las que suele haber ciclones tropicales. Se proporcionan intercomparaciones entre las predicciones de los ciclones tropicales, y los índices se calculan de forma </w:t>
      </w:r>
      <w:r w:rsidR="00077829">
        <w:rPr>
          <w:lang w:val="es-ES"/>
        </w:rPr>
        <w:t xml:space="preserve">anual </w:t>
      </w:r>
      <w:r>
        <w:rPr>
          <w:lang w:val="es-ES"/>
        </w:rPr>
        <w:t>respecto del período comprendido entre el 1 de enero y el 31 de diciembre en el hemisferio norte, y entre el 1 de septiembre y el 31 de agosto en el hemisferio sur</w:t>
      </w:r>
      <w:r w:rsidR="0038717F">
        <w:rPr>
          <w:lang w:val="es-ES"/>
        </w:rPr>
        <w:t xml:space="preserve">. </w:t>
      </w:r>
    </w:p>
    <w:p w14:paraId="07EB15AD" w14:textId="24125B47" w:rsidR="003E5D1B" w:rsidRPr="008357EA" w:rsidRDefault="00E26782">
      <w:pPr>
        <w:spacing w:after="240" w:line="240" w:lineRule="exact"/>
        <w:rPr>
          <w:rFonts w:eastAsia="Calibri" w:cs="Times New Roman"/>
          <w:lang w:val="es-419"/>
        </w:rPr>
      </w:pPr>
      <w:r>
        <w:rPr>
          <w:lang w:val="es-ES"/>
        </w:rPr>
        <w:t xml:space="preserve">2.3.3.4.3 </w:t>
      </w:r>
      <w:r w:rsidRPr="00D8347E">
        <w:rPr>
          <w:i/>
          <w:iCs/>
          <w:lang w:val="es-ES"/>
        </w:rPr>
        <w:t xml:space="preserve">Mecanismo de interacción entre el Centro Principal de Verificación de Predicciones de Ciclones Tropicales y los </w:t>
      </w:r>
      <w:r w:rsidR="00A95DEF" w:rsidRPr="00D8347E">
        <w:rPr>
          <w:i/>
          <w:iCs/>
          <w:lang w:val="es-ES"/>
        </w:rPr>
        <w:t>CMRE</w:t>
      </w:r>
      <w:r w:rsidRPr="00D8347E">
        <w:rPr>
          <w:i/>
          <w:iCs/>
          <w:lang w:val="es-ES"/>
        </w:rPr>
        <w:t xml:space="preserve"> que se ocupan de esas predicciones</w:t>
      </w:r>
    </w:p>
    <w:p w14:paraId="60AB345C" w14:textId="0C33F557" w:rsidR="003E5D1B" w:rsidRPr="008357EA" w:rsidRDefault="00E26782">
      <w:pPr>
        <w:spacing w:after="240" w:line="240" w:lineRule="exact"/>
        <w:rPr>
          <w:rFonts w:eastAsiaTheme="minorEastAsia" w:cstheme="majorBidi"/>
          <w:color w:val="000000" w:themeColor="text1"/>
          <w:lang w:val="es-419"/>
        </w:rPr>
      </w:pPr>
      <w:r>
        <w:rPr>
          <w:lang w:val="es-ES"/>
        </w:rPr>
        <w:t xml:space="preserve">Los </w:t>
      </w:r>
      <w:r w:rsidR="006753E1">
        <w:rPr>
          <w:lang w:val="es-ES"/>
        </w:rPr>
        <w:t>CMN</w:t>
      </w:r>
      <w:r>
        <w:rPr>
          <w:lang w:val="es-ES"/>
        </w:rPr>
        <w:t xml:space="preserve"> pueden beneficiarse de los resultados de la verificación que el Centro Principal de Verificación de Predicciones de Ciclones Tropicales compila y pone a disposición en su sitio web. Ese sitio contiene toda la información pertinente relacionada con el intercambio de datos, por ejemplo, cómo facilitar los datos de las predicciones de ciclones tropicales, y los propios resultados de la verificación. La contraseña para acceder a las predicciones de la trayectoria de </w:t>
      </w:r>
      <w:r>
        <w:rPr>
          <w:lang w:val="es-ES"/>
        </w:rPr>
        <w:lastRenderedPageBreak/>
        <w:t>los ciclones tropicales, a los resultados de las verificaciones y a las especificaciones de los datos puede obtenerse poniéndose en contacto con el Centro Principal, según las instrucciones que figuran en el sitio web.</w:t>
      </w:r>
    </w:p>
    <w:p w14:paraId="23049533" w14:textId="348CEF21" w:rsidR="003E5D1B" w:rsidRPr="008357EA" w:rsidRDefault="00E26782">
      <w:pPr>
        <w:spacing w:after="240" w:line="240" w:lineRule="exact"/>
        <w:rPr>
          <w:rFonts w:eastAsiaTheme="minorEastAsia" w:cstheme="majorBidi"/>
          <w:color w:val="000000" w:themeColor="text1"/>
          <w:lang w:val="es-419"/>
        </w:rPr>
      </w:pPr>
      <w:r>
        <w:rPr>
          <w:lang w:val="es-ES"/>
        </w:rPr>
        <w:t xml:space="preserve">Se anima a los </w:t>
      </w:r>
      <w:r w:rsidR="006753E1">
        <w:rPr>
          <w:lang w:val="es-ES"/>
        </w:rPr>
        <w:t>CMN</w:t>
      </w:r>
      <w:r>
        <w:rPr>
          <w:lang w:val="es-ES"/>
        </w:rPr>
        <w:t xml:space="preserve"> que trabajan con sistemas de predicción numérica del tiempo a escala mundial a que se coordinen con el Centro Principal de Verificación de Predicciones de Ciclones Tropicales a la hora de proporcionar sus datos de predicción numérica del tiempo relacionados con los ciclones tropicales, de modo que dicho Centro pueda verificar los resultados de acuerdo con los procedimientos normalizados de verificación que se definen en el apéndice 2.2.38 del </w:t>
      </w:r>
      <w:r w:rsidR="00B36420" w:rsidRPr="00B36420">
        <w:rPr>
          <w:i/>
          <w:iCs/>
          <w:lang w:val="es-ES"/>
        </w:rPr>
        <w:t>Manual del GDPFS</w:t>
      </w:r>
      <w:r>
        <w:rPr>
          <w:lang w:val="es-ES"/>
        </w:rPr>
        <w:t xml:space="preserve">. </w:t>
      </w:r>
    </w:p>
    <w:p w14:paraId="01DC8EF6" w14:textId="372B9E42" w:rsidR="003E5D1B" w:rsidRPr="008357EA" w:rsidRDefault="00E26782">
      <w:pPr>
        <w:spacing w:after="240" w:line="240" w:lineRule="exact"/>
        <w:rPr>
          <w:rFonts w:eastAsiaTheme="majorEastAsia" w:cstheme="majorBidi"/>
          <w:color w:val="000000" w:themeColor="text1"/>
          <w:lang w:val="es-419"/>
        </w:rPr>
      </w:pPr>
      <w:r>
        <w:rPr>
          <w:lang w:val="es-ES"/>
        </w:rPr>
        <w:t xml:space="preserve">El Centro Principal de Verificación de Predicciones de Ciclones Tropicales lleva a cabo la verificación utilizando los conjuntos de datos sobre las trayectorias más verosímiles proporcionados originalmente por los </w:t>
      </w:r>
      <w:r w:rsidR="00A95DEF">
        <w:rPr>
          <w:lang w:val="es-ES"/>
        </w:rPr>
        <w:t>CMRE</w:t>
      </w:r>
      <w:r>
        <w:rPr>
          <w:lang w:val="es-ES"/>
        </w:rPr>
        <w:t xml:space="preserve"> que se ocupan de </w:t>
      </w:r>
      <w:r w:rsidR="00E83B8D">
        <w:rPr>
          <w:lang w:val="es-ES"/>
        </w:rPr>
        <w:t>ese tipo de predicciones</w:t>
      </w:r>
      <w:r w:rsidR="0038717F">
        <w:rPr>
          <w:lang w:val="es-ES"/>
        </w:rPr>
        <w:t xml:space="preserve">. </w:t>
      </w:r>
    </w:p>
    <w:p w14:paraId="05652726" w14:textId="380D840B" w:rsidR="003E5D1B" w:rsidRPr="008357EA" w:rsidRDefault="00E26782">
      <w:pPr>
        <w:keepNext/>
        <w:spacing w:before="240" w:after="240" w:line="240" w:lineRule="exact"/>
        <w:ind w:left="1123" w:hanging="1123"/>
        <w:outlineLvl w:val="5"/>
        <w:rPr>
          <w:rFonts w:eastAsiaTheme="minorEastAsia" w:cstheme="majorBidi"/>
          <w:b/>
          <w:bCs/>
          <w:i/>
          <w:iCs/>
          <w:color w:val="000000" w:themeColor="text1"/>
          <w:lang w:val="es-419"/>
        </w:rPr>
      </w:pPr>
      <w:bookmarkStart w:id="204" w:name="_Toc113003341"/>
      <w:bookmarkStart w:id="205" w:name="_Toc113024466"/>
      <w:bookmarkStart w:id="206" w:name="_Toc117501997"/>
      <w:r>
        <w:rPr>
          <w:b/>
          <w:bCs/>
          <w:i/>
          <w:iCs/>
          <w:lang w:val="es-ES"/>
        </w:rPr>
        <w:t>2.2.3.5</w:t>
      </w:r>
      <w:r>
        <w:rPr>
          <w:lang w:val="es-ES"/>
        </w:rPr>
        <w:t xml:space="preserve"> </w:t>
      </w:r>
      <w:r w:rsidRPr="00FA4361">
        <w:rPr>
          <w:b/>
          <w:bCs/>
          <w:lang w:val="es-ES"/>
        </w:rPr>
        <w:t>Coordinación del control de las observaciones</w:t>
      </w:r>
      <w:r>
        <w:rPr>
          <w:lang w:val="es-ES"/>
        </w:rPr>
        <w:t xml:space="preserve"> </w:t>
      </w:r>
      <w:bookmarkEnd w:id="204"/>
      <w:bookmarkEnd w:id="205"/>
      <w:bookmarkEnd w:id="206"/>
    </w:p>
    <w:p w14:paraId="149B7DA1" w14:textId="35CBB215" w:rsidR="003E5D1B" w:rsidRPr="008357EA" w:rsidRDefault="00E26782">
      <w:pPr>
        <w:rPr>
          <w:lang w:val="es-419"/>
        </w:rPr>
      </w:pPr>
      <w:r>
        <w:rPr>
          <w:lang w:val="es-ES"/>
        </w:rPr>
        <w:t xml:space="preserve">No hay recomendaciones generales además de lo que se dispone en el punto 2.2.3.5 de la parte II del </w:t>
      </w:r>
      <w:r w:rsidR="00B36420" w:rsidRPr="00B36420">
        <w:rPr>
          <w:i/>
          <w:iCs/>
          <w:lang w:val="es-ES"/>
        </w:rPr>
        <w:t>Manual del GDPFS</w:t>
      </w:r>
      <w:r>
        <w:rPr>
          <w:lang w:val="es-ES"/>
        </w:rPr>
        <w:t>.</w:t>
      </w:r>
    </w:p>
    <w:p w14:paraId="2C2F4306" w14:textId="19A64B6D" w:rsidR="003E5D1B" w:rsidRPr="008357EA" w:rsidRDefault="00E26782">
      <w:pPr>
        <w:keepNext/>
        <w:tabs>
          <w:tab w:val="clear" w:pos="1134"/>
        </w:tabs>
        <w:spacing w:before="480" w:after="200" w:line="276" w:lineRule="auto"/>
        <w:ind w:left="1123" w:hanging="1123"/>
        <w:jc w:val="left"/>
        <w:outlineLvl w:val="3"/>
        <w:rPr>
          <w:rFonts w:eastAsiaTheme="minorHAnsi" w:cstheme="majorBidi"/>
          <w:b/>
          <w:bCs/>
          <w:caps/>
          <w:color w:val="000000" w:themeColor="text1"/>
          <w:lang w:val="es-419"/>
        </w:rPr>
      </w:pPr>
      <w:bookmarkStart w:id="207" w:name="_Toc113003342"/>
      <w:bookmarkStart w:id="208" w:name="_Toc113024467"/>
      <w:bookmarkStart w:id="209" w:name="_Toc117501998"/>
      <w:r>
        <w:rPr>
          <w:b/>
          <w:bCs/>
          <w:lang w:val="es-ES"/>
        </w:rPr>
        <w:t>2.4</w:t>
      </w:r>
      <w:r>
        <w:rPr>
          <w:lang w:val="es-ES"/>
        </w:rPr>
        <w:tab/>
      </w:r>
      <w:r w:rsidR="00660D41">
        <w:rPr>
          <w:b/>
          <w:bCs/>
          <w:lang w:val="es-ES"/>
        </w:rPr>
        <w:t>METADATOS DEL GDPFS</w:t>
      </w:r>
      <w:r w:rsidR="00660D41">
        <w:rPr>
          <w:lang w:val="es-ES"/>
        </w:rPr>
        <w:t xml:space="preserve"> </w:t>
      </w:r>
      <w:bookmarkEnd w:id="207"/>
      <w:bookmarkEnd w:id="208"/>
      <w:bookmarkEnd w:id="209"/>
    </w:p>
    <w:p w14:paraId="2C2B1AF4" w14:textId="7CB5B89B" w:rsidR="003E5D1B" w:rsidRPr="008357EA" w:rsidRDefault="00E26782">
      <w:pPr>
        <w:spacing w:line="240" w:lineRule="exact"/>
        <w:rPr>
          <w:rFonts w:eastAsia="Verdana" w:cs="Verdana"/>
          <w:color w:val="000000" w:themeColor="text1"/>
          <w:lang w:val="es-419"/>
        </w:rPr>
      </w:pPr>
      <w:r>
        <w:rPr>
          <w:lang w:val="es-ES"/>
        </w:rPr>
        <w:t xml:space="preserve">Como se indica en la sección 1.6 de la presente Guía, el </w:t>
      </w:r>
      <w:r w:rsidR="001C5219">
        <w:rPr>
          <w:lang w:val="es-ES"/>
        </w:rPr>
        <w:t>WIS</w:t>
      </w:r>
      <w:r>
        <w:rPr>
          <w:lang w:val="es-ES"/>
        </w:rPr>
        <w:t xml:space="preserve"> es la infraestructura mundial coordinada responsable de las funciones de telecomunicación y de gestión de datos. El </w:t>
      </w:r>
      <w:r w:rsidR="001C5219">
        <w:rPr>
          <w:lang w:val="es-ES"/>
        </w:rPr>
        <w:t>WIS</w:t>
      </w:r>
      <w:r>
        <w:rPr>
          <w:lang w:val="es-ES"/>
        </w:rPr>
        <w:t xml:space="preserve"> facilita lo siguiente: i) la recopilación y difusión habitual de datos y productos respecto de los cuales la puntualidad y la operatividad son esenciales; ii) la localización, el acceso y la recuperación de datos, y iii) la entrega puntual de datos y productos. Los metadatos del GDPFS proporcionan información sobre los procesos y las herramientas que se utilizan para generar los datos y los productos que se distribuyen a través del </w:t>
      </w:r>
      <w:r w:rsidR="001C5219">
        <w:rPr>
          <w:lang w:val="es-ES"/>
        </w:rPr>
        <w:t>WIS</w:t>
      </w:r>
      <w:r>
        <w:rPr>
          <w:lang w:val="es-ES"/>
        </w:rPr>
        <w:t xml:space="preserve">. La disponibilidad de los metadatos del GDPFS resulta fundamental para lograr una planificación y una gestión eficaces de los sistemas de proceso de datos y de predicción. Los metadatos del GDPFS consisten en información que hace posible interpretar los datos y los productos en su contexto, y que permite a todos los usuarios utilizar con eficacia los datos y los productos del GDPFS. </w:t>
      </w:r>
    </w:p>
    <w:p w14:paraId="0CB5D5B4" w14:textId="77777777" w:rsidR="003E5D1B" w:rsidRPr="008357EA" w:rsidRDefault="00E26782">
      <w:pPr>
        <w:spacing w:line="240" w:lineRule="exact"/>
        <w:rPr>
          <w:rFonts w:eastAsia="Verdana" w:cs="Verdana"/>
          <w:color w:val="000000" w:themeColor="text1"/>
          <w:sz w:val="18"/>
          <w:szCs w:val="18"/>
          <w:lang w:val="es-419"/>
        </w:rPr>
      </w:pPr>
      <w:r>
        <w:rPr>
          <w:lang w:val="es-ES"/>
        </w:rPr>
        <w:t>Nota: Las orientaciones específicas sobre los metadatos del GDPFS se encuentran en proceso de elaboración.</w:t>
      </w:r>
    </w:p>
    <w:p w14:paraId="36D4080F" w14:textId="77777777" w:rsidR="003E5D1B" w:rsidRPr="008357EA" w:rsidRDefault="00E26782">
      <w:pPr>
        <w:rPr>
          <w:rFonts w:cstheme="majorBidi"/>
          <w:color w:val="000000" w:themeColor="text1"/>
          <w:lang w:val="es-419" w:eastAsia="zh-TW"/>
        </w:rPr>
      </w:pPr>
      <w:r w:rsidRPr="008357EA">
        <w:rPr>
          <w:lang w:val="es-419"/>
        </w:rPr>
        <w:br w:type="page"/>
      </w:r>
    </w:p>
    <w:p w14:paraId="7F460957" w14:textId="46792C65" w:rsidR="003E5D1B" w:rsidRDefault="00E26782" w:rsidP="00CD2BB2">
      <w:pPr>
        <w:pStyle w:val="TPSSection"/>
      </w:pPr>
      <w:r w:rsidRPr="00CD2BB2">
        <w:lastRenderedPageBreak/>
        <w:fldChar w:fldCharType="begin"/>
      </w:r>
      <w:r w:rsidRPr="00CD2BB2">
        <w:instrText xml:space="preserve"> MACROBUTTON TPS_Section SECTION: Chapter Third</w:instrText>
      </w:r>
      <w:r w:rsidRPr="00CD2BB2">
        <w:rPr>
          <w:vanish/>
        </w:rPr>
        <w:fldChar w:fldCharType="begin"/>
      </w:r>
      <w:r w:rsidR="00CD2BB2">
        <w:rPr>
          <w:vanish/>
        </w:rPr>
        <w:instrText>Name="Chapter First" ID="d9a9be86-5bbb-4c97-9c33-79b1295845f2"</w:instrText>
      </w:r>
      <w:r w:rsidRPr="00CD2BB2">
        <w:fldChar w:fldCharType="end"/>
      </w:r>
      <w:r w:rsidRPr="00CD2BB2">
        <w:fldChar w:fldCharType="end"/>
      </w:r>
    </w:p>
    <w:p w14:paraId="3CE147B1" w14:textId="77777777" w:rsidR="003E5D1B" w:rsidRDefault="00E26782" w:rsidP="00CD2BB2">
      <w:pPr>
        <w:pStyle w:val="TPSSectionData"/>
      </w:pPr>
      <w:r w:rsidRPr="00CD2BB2">
        <w:fldChar w:fldCharType="begin"/>
      </w:r>
      <w:r w:rsidRPr="00CD2BB2">
        <w:instrText xml:space="preserve"> MACROBUTTON TPS_SectionField Chapter title in running head: PART III. DESIGNATION PROCEDURES FOR GDPFS CENTRES</w:instrText>
      </w:r>
      <w:r w:rsidRPr="00CD2BB2">
        <w:rPr>
          <w:vanish/>
        </w:rPr>
        <w:fldChar w:fldCharType="begin"/>
      </w:r>
      <w:r w:rsidRPr="00CD2BB2">
        <w:rPr>
          <w:vanish/>
        </w:rPr>
        <w:instrText>Name="Chapter title in running head" Value="PART I. OUTLINE OF THE WMO GLOBAL DATA-PROCESSING AND FORECASTING SYSTEM"</w:instrText>
      </w:r>
      <w:r w:rsidRPr="00CD2BB2">
        <w:fldChar w:fldCharType="end"/>
      </w:r>
      <w:r w:rsidRPr="00CD2BB2">
        <w:fldChar w:fldCharType="end"/>
      </w:r>
    </w:p>
    <w:p w14:paraId="29881929" w14:textId="09B58907" w:rsidR="003E5D1B" w:rsidRPr="008357EA" w:rsidRDefault="00E26782">
      <w:pPr>
        <w:keepNext/>
        <w:tabs>
          <w:tab w:val="clear" w:pos="1134"/>
        </w:tabs>
        <w:spacing w:after="560" w:line="280" w:lineRule="exact"/>
        <w:jc w:val="left"/>
        <w:outlineLvl w:val="2"/>
        <w:rPr>
          <w:b/>
          <w:caps/>
          <w:color w:val="000000" w:themeColor="text1"/>
          <w:sz w:val="24"/>
          <w:szCs w:val="22"/>
          <w:lang w:val="es-419"/>
        </w:rPr>
      </w:pPr>
      <w:bookmarkStart w:id="210" w:name="_Toc113003343"/>
      <w:bookmarkStart w:id="211" w:name="_Toc113024468"/>
      <w:bookmarkStart w:id="212" w:name="_Toc117501999"/>
      <w:r w:rsidRPr="007D751B">
        <w:rPr>
          <w:b/>
          <w:bCs/>
          <w:lang w:val="es-ES"/>
        </w:rPr>
        <w:t>PARTE II</w:t>
      </w:r>
      <w:r w:rsidR="007D751B" w:rsidRPr="007D751B">
        <w:rPr>
          <w:b/>
          <w:bCs/>
          <w:lang w:val="es-ES"/>
        </w:rPr>
        <w:t>I</w:t>
      </w:r>
      <w:r w:rsidRPr="007D751B">
        <w:rPr>
          <w:b/>
          <w:bCs/>
          <w:lang w:val="es-ES"/>
        </w:rPr>
        <w:t>.</w:t>
      </w:r>
      <w:r w:rsidRPr="007D751B">
        <w:rPr>
          <w:lang w:val="es-ES"/>
        </w:rPr>
        <w:t xml:space="preserve"> </w:t>
      </w:r>
      <w:r w:rsidRPr="007D751B">
        <w:rPr>
          <w:b/>
          <w:bCs/>
          <w:lang w:val="es-ES"/>
        </w:rPr>
        <w:t>PROCEDIMIENTOS DE DESIGNACIÓN</w:t>
      </w:r>
      <w:r w:rsidR="004F6F84">
        <w:rPr>
          <w:lang w:val="es-ES"/>
        </w:rPr>
        <w:t xml:space="preserve"> </w:t>
      </w:r>
      <w:bookmarkEnd w:id="210"/>
      <w:bookmarkEnd w:id="211"/>
      <w:bookmarkEnd w:id="212"/>
    </w:p>
    <w:p w14:paraId="6539F4C9" w14:textId="0CC0A2BF" w:rsidR="003E5D1B" w:rsidRPr="008357EA" w:rsidRDefault="00E26782">
      <w:pPr>
        <w:keepNext/>
        <w:tabs>
          <w:tab w:val="clear" w:pos="1134"/>
        </w:tabs>
        <w:spacing w:before="480" w:after="200" w:line="276" w:lineRule="auto"/>
        <w:ind w:left="1123" w:hanging="1123"/>
        <w:jc w:val="left"/>
        <w:outlineLvl w:val="3"/>
        <w:rPr>
          <w:rFonts w:eastAsiaTheme="minorHAnsi" w:cstheme="majorBidi"/>
          <w:b/>
          <w:bCs/>
          <w:caps/>
          <w:color w:val="000000" w:themeColor="text1"/>
          <w:lang w:val="es-419"/>
        </w:rPr>
      </w:pPr>
      <w:bookmarkStart w:id="213" w:name="_Toc113003344"/>
      <w:bookmarkStart w:id="214" w:name="_Toc113024469"/>
      <w:bookmarkStart w:id="215" w:name="_Toc117502000"/>
      <w:r>
        <w:rPr>
          <w:b/>
          <w:bCs/>
          <w:lang w:val="es-ES"/>
        </w:rPr>
        <w:t>3.1</w:t>
      </w:r>
      <w:r>
        <w:rPr>
          <w:lang w:val="es-ES"/>
        </w:rPr>
        <w:tab/>
      </w:r>
      <w:r w:rsidR="00660D41">
        <w:rPr>
          <w:b/>
          <w:bCs/>
          <w:lang w:val="es-ES"/>
        </w:rPr>
        <w:t>CONSIDERACIONES GENERALES</w:t>
      </w:r>
      <w:bookmarkEnd w:id="213"/>
      <w:bookmarkEnd w:id="214"/>
      <w:bookmarkEnd w:id="215"/>
    </w:p>
    <w:p w14:paraId="7B70BA61" w14:textId="77777777" w:rsidR="003E5D1B" w:rsidRPr="008357EA" w:rsidRDefault="00E26782">
      <w:pPr>
        <w:spacing w:after="240" w:line="240" w:lineRule="exact"/>
        <w:rPr>
          <w:rFonts w:eastAsiaTheme="minorEastAsia" w:cstheme="majorBidi"/>
          <w:color w:val="000000" w:themeColor="text1"/>
          <w:lang w:val="es-419"/>
        </w:rPr>
      </w:pPr>
      <w:r>
        <w:rPr>
          <w:lang w:val="es-ES"/>
        </w:rPr>
        <w:t>La creación y el funcionamiento del GDPFS dependen de que los Miembros de la OMM y los programas y asociados internacionales afines desempeñen la función de Centros Meteorológicos Mundiales (CMM), Centros Meteorológicos Regionales Especializados (CMRE) y Centros Principales. Los procedimientos para designar un centro del GDPFS se basan en el cumplimiento de la arquitectura funcional del GDPFS (es decir, los requisitos generales) y en las especificaciones técnicas o de las actividades del GDPFS.</w:t>
      </w:r>
    </w:p>
    <w:p w14:paraId="2EAB02A4" w14:textId="2E6D6BD7" w:rsidR="003E5D1B" w:rsidRPr="008357EA" w:rsidRDefault="00E26782">
      <w:pPr>
        <w:spacing w:after="240" w:line="240" w:lineRule="exact"/>
        <w:rPr>
          <w:rFonts w:eastAsiaTheme="minorEastAsia" w:cstheme="majorBidi"/>
          <w:color w:val="000000" w:themeColor="text1"/>
          <w:lang w:val="es-419"/>
        </w:rPr>
      </w:pPr>
      <w:r>
        <w:rPr>
          <w:lang w:val="es-ES"/>
        </w:rPr>
        <w:t xml:space="preserve">El proceso de designación de los CMM, los </w:t>
      </w:r>
      <w:r w:rsidR="00A95DEF">
        <w:rPr>
          <w:lang w:val="es-ES"/>
        </w:rPr>
        <w:t>CMRE</w:t>
      </w:r>
      <w:r>
        <w:rPr>
          <w:lang w:val="es-ES"/>
        </w:rPr>
        <w:t xml:space="preserve"> y las redes de </w:t>
      </w:r>
      <w:r w:rsidR="00A95DEF">
        <w:rPr>
          <w:lang w:val="es-ES"/>
        </w:rPr>
        <w:t>CMRE</w:t>
      </w:r>
      <w:r>
        <w:rPr>
          <w:lang w:val="es-ES"/>
        </w:rPr>
        <w:t xml:space="preserve"> se describe en la sección 1.2.6 del </w:t>
      </w:r>
      <w:r w:rsidR="002D6434" w:rsidRPr="002D6434">
        <w:rPr>
          <w:i/>
          <w:iCs/>
          <w:lang w:val="es-ES"/>
        </w:rPr>
        <w:t>Manual del Sistema Mundial de Proceso de Datos y de Predicción</w:t>
      </w:r>
      <w:r w:rsidR="008357EA">
        <w:rPr>
          <w:lang w:val="es-ES"/>
        </w:rPr>
        <w:t xml:space="preserve"> (</w:t>
      </w:r>
      <w:r w:rsidR="00EB4587">
        <w:rPr>
          <w:lang w:val="es-ES"/>
        </w:rPr>
        <w:t>OMM</w:t>
      </w:r>
      <w:r w:rsidR="00EB4587">
        <w:rPr>
          <w:lang w:val="es-ES"/>
        </w:rPr>
        <w:noBreakHyphen/>
        <w:t>Nº</w:t>
      </w:r>
      <w:r w:rsidR="0093047C">
        <w:rPr>
          <w:lang w:val="es-ES"/>
        </w:rPr>
        <w:t> </w:t>
      </w:r>
      <w:r w:rsidR="008357EA">
        <w:rPr>
          <w:lang w:val="es-ES"/>
        </w:rPr>
        <w:t>485).</w:t>
      </w:r>
      <w:r>
        <w:rPr>
          <w:lang w:val="es-ES"/>
        </w:rPr>
        <w:t xml:space="preserve"> En esta parte </w:t>
      </w:r>
      <w:r w:rsidR="002E7DD2">
        <w:rPr>
          <w:lang w:val="es-ES"/>
        </w:rPr>
        <w:t xml:space="preserve">de la presente Guía </w:t>
      </w:r>
      <w:r>
        <w:rPr>
          <w:lang w:val="es-ES"/>
        </w:rPr>
        <w:t>se ofrece una explicación más detallada del proceso de designación, que comprende los pasos de preparación y la designación propiamente dicha, así como el proceso de examen del cumplimiento.</w:t>
      </w:r>
    </w:p>
    <w:p w14:paraId="71911A87" w14:textId="36CEEEC6" w:rsidR="003E5D1B" w:rsidRPr="008357EA" w:rsidRDefault="00E26782">
      <w:pPr>
        <w:spacing w:after="240" w:line="240" w:lineRule="exact"/>
        <w:rPr>
          <w:rFonts w:eastAsiaTheme="minorEastAsia" w:cstheme="majorBidi"/>
          <w:color w:val="000000" w:themeColor="text1"/>
          <w:lang w:val="es-419"/>
        </w:rPr>
      </w:pPr>
      <w:r>
        <w:rPr>
          <w:lang w:val="es-ES"/>
        </w:rPr>
        <w:t xml:space="preserve">De acuerdo con el </w:t>
      </w:r>
      <w:r>
        <w:rPr>
          <w:i/>
          <w:iCs/>
          <w:lang w:val="es-ES"/>
        </w:rPr>
        <w:t>Reglamento Técnico de la OMM</w:t>
      </w:r>
      <w:r>
        <w:rPr>
          <w:lang w:val="es-ES"/>
        </w:rPr>
        <w:t xml:space="preserve"> (</w:t>
      </w:r>
      <w:r w:rsidR="00EB4587">
        <w:rPr>
          <w:lang w:val="es-ES"/>
        </w:rPr>
        <w:t>OMM</w:t>
      </w:r>
      <w:r w:rsidR="00EB4587">
        <w:rPr>
          <w:lang w:val="es-ES"/>
        </w:rPr>
        <w:noBreakHyphen/>
        <w:t>Nº</w:t>
      </w:r>
      <w:r w:rsidR="0093047C">
        <w:rPr>
          <w:lang w:val="es-ES"/>
        </w:rPr>
        <w:t> </w:t>
      </w:r>
      <w:r>
        <w:rPr>
          <w:lang w:val="es-ES"/>
        </w:rPr>
        <w:t xml:space="preserve">49), cada Miembro designará un Centro Meteorológico Nacional (CMN) dentro del Servicio Meteorológico e Hidrológico Nacional (SMHN), que será responsable de elaborar predicciones y avisos en todos los plazos que hagan falta para satisfacer las necesidades del Miembro de la OMM. Dado que esa designación coincide con el mandato individual de cada SMHN, no es necesario que en el marco del GDPFS haya procedimientos formales de designación y examen del cumplimiento; sin embargo, se espera que los CMN cumplan los requisitos generales. Además, como se describe en el punto 2.4 de la parte II de la </w:t>
      </w:r>
      <w:r w:rsidR="00453681" w:rsidRPr="00453681">
        <w:rPr>
          <w:i/>
          <w:iCs/>
          <w:lang w:val="es-ES"/>
        </w:rPr>
        <w:t>Guía del Sistema de Información de la OMM</w:t>
      </w:r>
      <w:r w:rsidR="00453681">
        <w:rPr>
          <w:lang w:val="es-ES"/>
        </w:rPr>
        <w:t xml:space="preserve"> (OMM</w:t>
      </w:r>
      <w:r w:rsidR="00EB4587">
        <w:rPr>
          <w:lang w:val="es-ES"/>
        </w:rPr>
        <w:noBreakHyphen/>
        <w:t>Nº</w:t>
      </w:r>
      <w:r w:rsidR="0093047C">
        <w:rPr>
          <w:lang w:val="es-ES"/>
        </w:rPr>
        <w:t> </w:t>
      </w:r>
      <w:r>
        <w:rPr>
          <w:lang w:val="es-ES"/>
        </w:rPr>
        <w:t xml:space="preserve">1061), se espera que los </w:t>
      </w:r>
      <w:r w:rsidR="00881EC9">
        <w:rPr>
          <w:lang w:val="es-ES"/>
        </w:rPr>
        <w:t>CMN</w:t>
      </w:r>
      <w:r>
        <w:rPr>
          <w:lang w:val="es-ES"/>
        </w:rPr>
        <w:t xml:space="preserve"> sean Centros Nacionales del </w:t>
      </w:r>
      <w:r w:rsidR="001C5219">
        <w:rPr>
          <w:lang w:val="es-ES"/>
        </w:rPr>
        <w:t>WIS</w:t>
      </w:r>
      <w:r>
        <w:rPr>
          <w:lang w:val="es-ES"/>
        </w:rPr>
        <w:t>.</w:t>
      </w:r>
    </w:p>
    <w:p w14:paraId="66B39BC9" w14:textId="77777777" w:rsidR="003E5D1B" w:rsidRPr="008357EA" w:rsidRDefault="00E26782">
      <w:pPr>
        <w:spacing w:after="240" w:line="240" w:lineRule="exact"/>
        <w:rPr>
          <w:rFonts w:eastAsiaTheme="minorEastAsia" w:cstheme="majorBidi"/>
          <w:b/>
          <w:bCs/>
          <w:color w:val="000000" w:themeColor="text1"/>
          <w:lang w:val="es-419"/>
        </w:rPr>
      </w:pPr>
      <w:r>
        <w:rPr>
          <w:b/>
          <w:bCs/>
          <w:lang w:val="es-ES"/>
        </w:rPr>
        <w:t>Cómo leer los cuadros en que se indican las responsabilidades</w:t>
      </w:r>
    </w:p>
    <w:p w14:paraId="136C59D8" w14:textId="5C521D99" w:rsidR="003E5D1B" w:rsidRPr="008357EA" w:rsidRDefault="00E26782">
      <w:pPr>
        <w:spacing w:after="240"/>
        <w:rPr>
          <w:rFonts w:cstheme="majorBidi"/>
          <w:color w:val="000000" w:themeColor="text1"/>
          <w:lang w:val="es-419"/>
        </w:rPr>
      </w:pPr>
      <w:r>
        <w:rPr>
          <w:lang w:val="es-ES"/>
        </w:rPr>
        <w:t xml:space="preserve">Conforme a los requisitos de gestión de la calidad, en relación con cada tipo de actividad del GDPFS se indica cuáles son los órganos encargados de gestionar la información correspondiente que figura en el </w:t>
      </w:r>
      <w:r w:rsidR="00B36420" w:rsidRPr="00B36420">
        <w:rPr>
          <w:i/>
          <w:iCs/>
          <w:lang w:val="es-ES"/>
        </w:rPr>
        <w:t>Manual del GDPFS</w:t>
      </w:r>
      <w:r>
        <w:rPr>
          <w:lang w:val="es-ES"/>
        </w:rPr>
        <w:t xml:space="preserve">. Esa información aparece en los cuadros 2 a 26 de la sección 2.2 de la parte II del </w:t>
      </w:r>
      <w:r w:rsidR="00B36420" w:rsidRPr="00B36420">
        <w:rPr>
          <w:i/>
          <w:iCs/>
          <w:lang w:val="es-ES"/>
        </w:rPr>
        <w:t>Manual del GDPFS</w:t>
      </w:r>
      <w:r>
        <w:rPr>
          <w:lang w:val="es-ES"/>
        </w:rPr>
        <w:t xml:space="preserve">. Se proporcionan las siguientes explicaciones y el siguiente ejemplo (cuadro 1): </w:t>
      </w:r>
    </w:p>
    <w:p w14:paraId="3EBF758E" w14:textId="2E44D002" w:rsidR="003E5D1B" w:rsidRPr="008357EA" w:rsidRDefault="00E26782">
      <w:pPr>
        <w:widowControl w:val="0"/>
        <w:numPr>
          <w:ilvl w:val="0"/>
          <w:numId w:val="33"/>
        </w:numPr>
        <w:tabs>
          <w:tab w:val="clear" w:pos="1134"/>
        </w:tabs>
        <w:spacing w:after="240"/>
        <w:rPr>
          <w:rFonts w:eastAsiaTheme="minorEastAsia" w:cstheme="majorBidi"/>
          <w:color w:val="000000" w:themeColor="text1"/>
          <w:lang w:val="es-419"/>
        </w:rPr>
      </w:pPr>
      <w:r>
        <w:rPr>
          <w:lang w:val="es-ES"/>
        </w:rPr>
        <w:t xml:space="preserve">En las tres entradas que aparecen bajo "Cambios en la especificación de actividades" se indica cuáles son los equipos y órganos encargados de preparar las actualizaciones de las especificaciones, de aprobarlas y de decidir en consecuencia sobre la actualización del </w:t>
      </w:r>
      <w:r w:rsidR="00B36420" w:rsidRPr="00B36420">
        <w:rPr>
          <w:i/>
          <w:iCs/>
          <w:lang w:val="es-ES"/>
        </w:rPr>
        <w:t>Manual del GDPFS</w:t>
      </w:r>
      <w:r>
        <w:rPr>
          <w:lang w:val="es-ES"/>
        </w:rPr>
        <w:t xml:space="preserve">. El Comité Permanente de Servicios Meteorológicos Marinos y Oceanográficos (SC-MMO) de la Comisión de Aplicaciones y Servicios Meteorológicos, Climáticos, Hidrológicos y Medioambientales Conexos (SERCOM) propone a esta última cambios en la actividad de predicción numérica oceánica a escala mundial. La SERCOM, a su vez, aprueba la propuesta e invita a la Comisión de Observaciones, Infraestructura y Sistemas de Información (INFCOM) a considerar la posibilidad de modificar en consecuencia la parte II del </w:t>
      </w:r>
      <w:r w:rsidR="00B36420" w:rsidRPr="00B36420">
        <w:rPr>
          <w:i/>
          <w:iCs/>
          <w:lang w:val="es-ES"/>
        </w:rPr>
        <w:t>Manual del GDPFS</w:t>
      </w:r>
      <w:r>
        <w:rPr>
          <w:lang w:val="es-ES"/>
        </w:rPr>
        <w:t xml:space="preserve">. A continuación, la INFCOM solicita al Comité Permanente de Proceso de Datos para la Modelización y Predicción Aplicadas del Sistema Tierra (SC-ESMP) que examine el contenido propuesto en colaboración con el SC-MMO, y que recomiende el contenido examinado al Consejo Ejecutivo o al Congreso como modificación del </w:t>
      </w:r>
      <w:r w:rsidR="00B36420" w:rsidRPr="00B36420">
        <w:rPr>
          <w:i/>
          <w:iCs/>
          <w:lang w:val="es-ES"/>
        </w:rPr>
        <w:t>Manual del GDPFS</w:t>
      </w:r>
      <w:r>
        <w:rPr>
          <w:lang w:val="es-ES"/>
        </w:rPr>
        <w:t xml:space="preserve">. </w:t>
      </w:r>
    </w:p>
    <w:p w14:paraId="520DAA5E" w14:textId="6B529B8B" w:rsidR="003E5D1B" w:rsidRPr="008357EA" w:rsidRDefault="00E26782">
      <w:pPr>
        <w:widowControl w:val="0"/>
        <w:numPr>
          <w:ilvl w:val="0"/>
          <w:numId w:val="33"/>
        </w:numPr>
        <w:tabs>
          <w:tab w:val="clear" w:pos="1134"/>
        </w:tabs>
        <w:spacing w:after="240"/>
        <w:rPr>
          <w:rFonts w:eastAsiaTheme="minorEastAsia" w:cstheme="majorBidi"/>
          <w:color w:val="000000" w:themeColor="text1"/>
          <w:lang w:val="es-419"/>
        </w:rPr>
      </w:pPr>
      <w:r>
        <w:rPr>
          <w:lang w:val="es-ES"/>
        </w:rPr>
        <w:t xml:space="preserve">En las dos entradas que aparecen bajo "Designación de centros" se indica cuáles son los órganos encargados de aprobar la designación de un centro del GDPFS para la actividad que se está analizando y cuáles son los encargados de tomar una decisión al respecto. </w:t>
      </w:r>
      <w:r>
        <w:rPr>
          <w:lang w:val="es-ES"/>
        </w:rPr>
        <w:lastRenderedPageBreak/>
        <w:t xml:space="preserve">Siguiendo con el mismo ejemplo: en una reunión de la SERCOM se recomienda la designación de un </w:t>
      </w:r>
      <w:r w:rsidR="00A95DEF">
        <w:rPr>
          <w:lang w:val="es-ES"/>
        </w:rPr>
        <w:t>CMRE</w:t>
      </w:r>
      <w:r>
        <w:rPr>
          <w:lang w:val="es-ES"/>
        </w:rPr>
        <w:t xml:space="preserve"> para la predicción numérica oceánica a escala mundial, y se invita a la INFCOM a considerar la posibilidad de modificar en consecuencia la parte III del </w:t>
      </w:r>
      <w:r w:rsidR="00B36420" w:rsidRPr="00B36420">
        <w:rPr>
          <w:i/>
          <w:iCs/>
          <w:lang w:val="es-ES"/>
        </w:rPr>
        <w:t>Manual del GDPFS</w:t>
      </w:r>
      <w:r>
        <w:rPr>
          <w:lang w:val="es-ES"/>
        </w:rPr>
        <w:t xml:space="preserve">. A continuación, la INFCOM recomienda </w:t>
      </w:r>
      <w:r w:rsidR="0070344B">
        <w:rPr>
          <w:lang w:val="es-ES"/>
        </w:rPr>
        <w:t>al Consejo</w:t>
      </w:r>
      <w:r>
        <w:rPr>
          <w:lang w:val="es-ES"/>
        </w:rPr>
        <w:t xml:space="preserve"> Ejecutivo o al Congreso que se modifique el </w:t>
      </w:r>
      <w:r w:rsidR="00B36420" w:rsidRPr="00B36420">
        <w:rPr>
          <w:i/>
          <w:iCs/>
          <w:lang w:val="es-ES"/>
        </w:rPr>
        <w:t>Manual del GDPFS</w:t>
      </w:r>
      <w:r>
        <w:rPr>
          <w:lang w:val="es-ES"/>
        </w:rPr>
        <w:t>.</w:t>
      </w:r>
    </w:p>
    <w:p w14:paraId="714DB38F" w14:textId="76259B96" w:rsidR="003E5D1B" w:rsidRPr="008357EA" w:rsidRDefault="00E26782">
      <w:pPr>
        <w:widowControl w:val="0"/>
        <w:numPr>
          <w:ilvl w:val="0"/>
          <w:numId w:val="33"/>
        </w:numPr>
        <w:tabs>
          <w:tab w:val="clear" w:pos="1134"/>
        </w:tabs>
        <w:spacing w:after="240"/>
        <w:rPr>
          <w:rFonts w:eastAsiaTheme="minorEastAsia" w:cstheme="majorBidi"/>
          <w:color w:val="000000" w:themeColor="text1"/>
          <w:lang w:val="es-419"/>
        </w:rPr>
      </w:pPr>
      <w:r>
        <w:rPr>
          <w:lang w:val="es-ES"/>
        </w:rPr>
        <w:t xml:space="preserve">En las dos entradas que aparecen bajo "Cumplimiento" se indica cuáles son los equipos y órganos encargados de velar por que los centros del GDPFS </w:t>
      </w:r>
      <w:r w:rsidR="003124C8">
        <w:rPr>
          <w:lang w:val="es-ES"/>
        </w:rPr>
        <w:t>cumplan</w:t>
      </w:r>
      <w:r>
        <w:rPr>
          <w:lang w:val="es-ES"/>
        </w:rPr>
        <w:t xml:space="preserve"> con la especificación de la actividad. Siguiendo con el mismo ejemplo: el SC-MMO de la SERCOM supervisa el cumplimiento de los </w:t>
      </w:r>
      <w:r w:rsidR="00A95DEF">
        <w:rPr>
          <w:lang w:val="es-ES"/>
        </w:rPr>
        <w:t>CMRE</w:t>
      </w:r>
      <w:r>
        <w:rPr>
          <w:lang w:val="es-ES"/>
        </w:rPr>
        <w:t xml:space="preserve"> que se ocupan de la predicción numérica oceánica a escala mundial</w:t>
      </w:r>
      <w:r w:rsidR="003124C8">
        <w:rPr>
          <w:lang w:val="es-ES"/>
        </w:rPr>
        <w:t xml:space="preserve"> y presenta un informe en la</w:t>
      </w:r>
      <w:r>
        <w:rPr>
          <w:lang w:val="es-ES"/>
        </w:rPr>
        <w:t xml:space="preserve"> reunión de la SERCOM, que a su vez invita a la INFCOM a considerar el informe y a tomar las medidas que correspondan en relación con el </w:t>
      </w:r>
      <w:r w:rsidR="00B36420" w:rsidRPr="00B36420">
        <w:rPr>
          <w:i/>
          <w:iCs/>
          <w:lang w:val="es-ES"/>
        </w:rPr>
        <w:t>Manual del GDPFS</w:t>
      </w:r>
      <w:r>
        <w:rPr>
          <w:lang w:val="es-ES"/>
        </w:rPr>
        <w:t>, según proceda.</w:t>
      </w:r>
    </w:p>
    <w:p w14:paraId="4CEE65DE" w14:textId="77777777" w:rsidR="003E5D1B" w:rsidRPr="008357EA" w:rsidRDefault="00E26782">
      <w:pPr>
        <w:spacing w:line="240" w:lineRule="exact"/>
        <w:rPr>
          <w:rFonts w:eastAsiaTheme="minorEastAsia" w:cstheme="majorBidi"/>
          <w:b/>
          <w:bCs/>
          <w:color w:val="000000" w:themeColor="text1"/>
          <w:lang w:val="es-419"/>
        </w:rPr>
      </w:pPr>
      <w:r>
        <w:rPr>
          <w:b/>
          <w:bCs/>
          <w:lang w:val="es-ES"/>
        </w:rPr>
        <w:t>Cuadro 3.1.</w:t>
      </w:r>
      <w:r>
        <w:rPr>
          <w:lang w:val="es-ES"/>
        </w:rPr>
        <w:t xml:space="preserve"> </w:t>
      </w:r>
      <w:r>
        <w:rPr>
          <w:b/>
          <w:bCs/>
          <w:lang w:val="es-ES"/>
        </w:rPr>
        <w:t>Ejemplo de un cuadro en que se indica quiénes son responsables de modificar una actividad del GDPFS, de designar los centros y de supervisar el cumplimiento (en este caso, la actividad en cuestión es la predicción numérica oceánica a escala mundial)</w:t>
      </w:r>
    </w:p>
    <w:tbl>
      <w:tblPr>
        <w:tblStyle w:val="TableGrid"/>
        <w:tblW w:w="0" w:type="auto"/>
        <w:tblLayout w:type="fixed"/>
        <w:tblLook w:val="04A0" w:firstRow="1" w:lastRow="0" w:firstColumn="1" w:lastColumn="0" w:noHBand="0" w:noVBand="1"/>
      </w:tblPr>
      <w:tblGrid>
        <w:gridCol w:w="2689"/>
        <w:gridCol w:w="2109"/>
        <w:gridCol w:w="2109"/>
        <w:gridCol w:w="2109"/>
      </w:tblGrid>
      <w:tr w:rsidR="003E5D1B" w14:paraId="148BD1AC" w14:textId="77777777">
        <w:tc>
          <w:tcPr>
            <w:tcW w:w="9016" w:type="dxa"/>
            <w:gridSpan w:val="4"/>
          </w:tcPr>
          <w:p w14:paraId="70C6C54B" w14:textId="77777777" w:rsidR="003E5D1B" w:rsidRDefault="00E26782">
            <w:pPr>
              <w:spacing w:line="240" w:lineRule="exact"/>
              <w:jc w:val="center"/>
              <w:rPr>
                <w:rFonts w:eastAsiaTheme="minorEastAsia" w:cstheme="majorBidi"/>
                <w:i/>
                <w:iCs/>
                <w:color w:val="000000" w:themeColor="text1"/>
              </w:rPr>
            </w:pPr>
            <w:r>
              <w:rPr>
                <w:i/>
                <w:iCs/>
                <w:lang w:val="es-ES"/>
              </w:rPr>
              <w:t>Responsabilidad</w:t>
            </w:r>
          </w:p>
        </w:tc>
      </w:tr>
      <w:tr w:rsidR="003E5D1B" w:rsidRPr="00040873" w14:paraId="7BAB1534" w14:textId="77777777">
        <w:tc>
          <w:tcPr>
            <w:tcW w:w="9016" w:type="dxa"/>
            <w:gridSpan w:val="4"/>
          </w:tcPr>
          <w:p w14:paraId="52F77E0A" w14:textId="77777777" w:rsidR="003E5D1B" w:rsidRPr="008357EA" w:rsidRDefault="00E26782">
            <w:pPr>
              <w:spacing w:line="240" w:lineRule="exact"/>
              <w:jc w:val="center"/>
              <w:rPr>
                <w:rFonts w:eastAsiaTheme="minorEastAsia" w:cstheme="majorBidi"/>
                <w:i/>
                <w:iCs/>
                <w:color w:val="000000" w:themeColor="text1"/>
                <w:lang w:val="es-419"/>
              </w:rPr>
            </w:pPr>
            <w:r>
              <w:rPr>
                <w:i/>
                <w:iCs/>
                <w:lang w:val="es-ES"/>
              </w:rPr>
              <w:t>Cambios en la especificación de actividades</w:t>
            </w:r>
          </w:p>
        </w:tc>
      </w:tr>
      <w:tr w:rsidR="003E5D1B" w:rsidRPr="006705A7" w14:paraId="55FBDFEF" w14:textId="77777777">
        <w:tc>
          <w:tcPr>
            <w:tcW w:w="2689" w:type="dxa"/>
          </w:tcPr>
          <w:p w14:paraId="6D596858" w14:textId="77777777" w:rsidR="003E5D1B" w:rsidRDefault="00E26782">
            <w:pPr>
              <w:spacing w:line="240" w:lineRule="exact"/>
              <w:rPr>
                <w:rFonts w:eastAsiaTheme="minorEastAsia" w:cstheme="majorBidi"/>
                <w:color w:val="000000" w:themeColor="text1"/>
              </w:rPr>
            </w:pPr>
            <w:r>
              <w:rPr>
                <w:lang w:val="es-ES"/>
              </w:rPr>
              <w:t>Serán propuestos por:</w:t>
            </w:r>
          </w:p>
        </w:tc>
        <w:tc>
          <w:tcPr>
            <w:tcW w:w="2109" w:type="dxa"/>
          </w:tcPr>
          <w:p w14:paraId="1A04ECEF" w14:textId="77777777" w:rsidR="003E5D1B" w:rsidRPr="008357EA" w:rsidRDefault="00E26782">
            <w:pPr>
              <w:spacing w:line="240" w:lineRule="exact"/>
              <w:rPr>
                <w:rFonts w:eastAsiaTheme="minorEastAsia" w:cstheme="majorBidi"/>
                <w:color w:val="000000" w:themeColor="text1"/>
                <w:lang w:val="es-419"/>
              </w:rPr>
            </w:pPr>
            <w:r>
              <w:rPr>
                <w:lang w:val="es-ES"/>
              </w:rPr>
              <w:t>SC-MMO de la SERCOM</w:t>
            </w:r>
          </w:p>
        </w:tc>
        <w:tc>
          <w:tcPr>
            <w:tcW w:w="2109" w:type="dxa"/>
          </w:tcPr>
          <w:p w14:paraId="4A025521" w14:textId="77777777" w:rsidR="003E5D1B" w:rsidRPr="008357EA" w:rsidRDefault="003E5D1B">
            <w:pPr>
              <w:spacing w:line="240" w:lineRule="exact"/>
              <w:rPr>
                <w:rFonts w:eastAsiaTheme="minorEastAsia" w:cstheme="majorBidi"/>
                <w:color w:val="000000" w:themeColor="text1"/>
                <w:lang w:val="es-419" w:eastAsia="zh-TW"/>
              </w:rPr>
            </w:pPr>
          </w:p>
        </w:tc>
        <w:tc>
          <w:tcPr>
            <w:tcW w:w="2109" w:type="dxa"/>
          </w:tcPr>
          <w:p w14:paraId="5688B7B1" w14:textId="77777777" w:rsidR="003E5D1B" w:rsidRPr="008357EA" w:rsidRDefault="003E5D1B">
            <w:pPr>
              <w:spacing w:line="240" w:lineRule="exact"/>
              <w:rPr>
                <w:rFonts w:eastAsiaTheme="minorEastAsia" w:cstheme="majorBidi"/>
                <w:color w:val="000000" w:themeColor="text1"/>
                <w:lang w:val="es-419" w:eastAsia="zh-TW"/>
              </w:rPr>
            </w:pPr>
          </w:p>
        </w:tc>
      </w:tr>
      <w:tr w:rsidR="003E5D1B" w14:paraId="1C7CFF59" w14:textId="77777777">
        <w:tc>
          <w:tcPr>
            <w:tcW w:w="2689" w:type="dxa"/>
          </w:tcPr>
          <w:p w14:paraId="3ACABD79" w14:textId="77777777" w:rsidR="003E5D1B" w:rsidRDefault="00E26782">
            <w:pPr>
              <w:spacing w:line="240" w:lineRule="exact"/>
              <w:rPr>
                <w:rFonts w:eastAsiaTheme="minorEastAsia" w:cstheme="majorBidi"/>
                <w:color w:val="000000" w:themeColor="text1"/>
              </w:rPr>
            </w:pPr>
            <w:r>
              <w:rPr>
                <w:lang w:val="es-ES"/>
              </w:rPr>
              <w:t>Serán recomendados por:</w:t>
            </w:r>
          </w:p>
        </w:tc>
        <w:tc>
          <w:tcPr>
            <w:tcW w:w="2109" w:type="dxa"/>
          </w:tcPr>
          <w:p w14:paraId="0ED3A925" w14:textId="77777777" w:rsidR="003E5D1B" w:rsidRDefault="00E26782">
            <w:pPr>
              <w:spacing w:line="240" w:lineRule="exact"/>
              <w:rPr>
                <w:rFonts w:eastAsiaTheme="minorEastAsia" w:cstheme="majorBidi"/>
                <w:color w:val="000000" w:themeColor="text1"/>
              </w:rPr>
            </w:pPr>
            <w:r>
              <w:rPr>
                <w:lang w:val="es-ES"/>
              </w:rPr>
              <w:t>INFCOM</w:t>
            </w:r>
          </w:p>
        </w:tc>
        <w:tc>
          <w:tcPr>
            <w:tcW w:w="2109" w:type="dxa"/>
          </w:tcPr>
          <w:p w14:paraId="690CB047" w14:textId="77777777" w:rsidR="003E5D1B" w:rsidRDefault="00E26782">
            <w:pPr>
              <w:spacing w:line="240" w:lineRule="exact"/>
              <w:rPr>
                <w:rFonts w:eastAsiaTheme="minorEastAsia" w:cstheme="majorBidi"/>
                <w:color w:val="000000" w:themeColor="text1"/>
              </w:rPr>
            </w:pPr>
            <w:r>
              <w:rPr>
                <w:lang w:val="es-ES"/>
              </w:rPr>
              <w:t>SERCOM</w:t>
            </w:r>
          </w:p>
        </w:tc>
        <w:tc>
          <w:tcPr>
            <w:tcW w:w="2109" w:type="dxa"/>
          </w:tcPr>
          <w:p w14:paraId="26D38AB5" w14:textId="77777777" w:rsidR="003E5D1B" w:rsidRDefault="003E5D1B">
            <w:pPr>
              <w:spacing w:line="240" w:lineRule="exact"/>
              <w:rPr>
                <w:rFonts w:eastAsiaTheme="minorEastAsia" w:cstheme="majorBidi"/>
                <w:color w:val="000000" w:themeColor="text1"/>
                <w:lang w:eastAsia="zh-TW"/>
              </w:rPr>
            </w:pPr>
          </w:p>
        </w:tc>
      </w:tr>
      <w:tr w:rsidR="003E5D1B" w14:paraId="5B9C114A" w14:textId="77777777">
        <w:tc>
          <w:tcPr>
            <w:tcW w:w="2689" w:type="dxa"/>
          </w:tcPr>
          <w:p w14:paraId="025CB8A7" w14:textId="77777777" w:rsidR="003E5D1B" w:rsidRDefault="00E26782">
            <w:pPr>
              <w:spacing w:line="240" w:lineRule="exact"/>
              <w:rPr>
                <w:rFonts w:eastAsiaTheme="minorEastAsia" w:cstheme="majorBidi"/>
                <w:color w:val="000000" w:themeColor="text1"/>
              </w:rPr>
            </w:pPr>
            <w:r>
              <w:rPr>
                <w:lang w:val="es-ES"/>
              </w:rPr>
              <w:t>Serán decididos por:</w:t>
            </w:r>
          </w:p>
        </w:tc>
        <w:tc>
          <w:tcPr>
            <w:tcW w:w="2109" w:type="dxa"/>
          </w:tcPr>
          <w:p w14:paraId="3A247E70" w14:textId="77777777" w:rsidR="003E5D1B" w:rsidRDefault="00E26782">
            <w:pPr>
              <w:spacing w:line="240" w:lineRule="exact"/>
              <w:rPr>
                <w:rFonts w:eastAsiaTheme="minorEastAsia" w:cstheme="majorBidi"/>
                <w:color w:val="000000" w:themeColor="text1"/>
              </w:rPr>
            </w:pPr>
            <w:r>
              <w:rPr>
                <w:lang w:val="es-ES"/>
              </w:rPr>
              <w:t>Consejo Ejecutivo o Congreso</w:t>
            </w:r>
          </w:p>
        </w:tc>
        <w:tc>
          <w:tcPr>
            <w:tcW w:w="2109" w:type="dxa"/>
          </w:tcPr>
          <w:p w14:paraId="25136921" w14:textId="77777777" w:rsidR="003E5D1B" w:rsidRDefault="003E5D1B">
            <w:pPr>
              <w:spacing w:line="240" w:lineRule="exact"/>
              <w:rPr>
                <w:rFonts w:eastAsiaTheme="minorEastAsia" w:cstheme="majorBidi"/>
                <w:color w:val="000000" w:themeColor="text1"/>
                <w:lang w:eastAsia="zh-TW"/>
              </w:rPr>
            </w:pPr>
          </w:p>
        </w:tc>
        <w:tc>
          <w:tcPr>
            <w:tcW w:w="2109" w:type="dxa"/>
          </w:tcPr>
          <w:p w14:paraId="74B4EAAE" w14:textId="77777777" w:rsidR="003E5D1B" w:rsidRDefault="003E5D1B">
            <w:pPr>
              <w:spacing w:line="240" w:lineRule="exact"/>
              <w:rPr>
                <w:rFonts w:eastAsiaTheme="minorEastAsia" w:cstheme="majorBidi"/>
                <w:color w:val="000000" w:themeColor="text1"/>
                <w:lang w:eastAsia="zh-TW"/>
              </w:rPr>
            </w:pPr>
          </w:p>
        </w:tc>
      </w:tr>
      <w:tr w:rsidR="003E5D1B" w14:paraId="5A25DF1D" w14:textId="77777777">
        <w:tc>
          <w:tcPr>
            <w:tcW w:w="9016" w:type="dxa"/>
            <w:gridSpan w:val="4"/>
          </w:tcPr>
          <w:p w14:paraId="0D503C4C" w14:textId="77777777" w:rsidR="003E5D1B" w:rsidRDefault="00E26782">
            <w:pPr>
              <w:spacing w:line="240" w:lineRule="exact"/>
              <w:jc w:val="center"/>
              <w:rPr>
                <w:rFonts w:eastAsiaTheme="minorEastAsia" w:cstheme="majorBidi"/>
                <w:i/>
                <w:iCs/>
                <w:color w:val="000000" w:themeColor="text1"/>
              </w:rPr>
            </w:pPr>
            <w:r>
              <w:rPr>
                <w:i/>
                <w:iCs/>
                <w:lang w:val="es-ES"/>
              </w:rPr>
              <w:t>Designación de centros</w:t>
            </w:r>
          </w:p>
        </w:tc>
      </w:tr>
      <w:tr w:rsidR="003E5D1B" w14:paraId="16FB7E55" w14:textId="77777777">
        <w:tc>
          <w:tcPr>
            <w:tcW w:w="2689" w:type="dxa"/>
          </w:tcPr>
          <w:p w14:paraId="79ED3B84" w14:textId="77777777" w:rsidR="003E5D1B" w:rsidRDefault="00E26782">
            <w:pPr>
              <w:spacing w:line="240" w:lineRule="exact"/>
              <w:rPr>
                <w:rFonts w:eastAsiaTheme="minorEastAsia" w:cstheme="majorBidi"/>
                <w:color w:val="000000" w:themeColor="text1"/>
              </w:rPr>
            </w:pPr>
            <w:r>
              <w:rPr>
                <w:lang w:val="es-ES"/>
              </w:rPr>
              <w:t>Será recomendada por:</w:t>
            </w:r>
          </w:p>
        </w:tc>
        <w:tc>
          <w:tcPr>
            <w:tcW w:w="2109" w:type="dxa"/>
          </w:tcPr>
          <w:p w14:paraId="1D112AF2" w14:textId="77777777" w:rsidR="003E5D1B" w:rsidRDefault="00E26782">
            <w:pPr>
              <w:spacing w:line="240" w:lineRule="exact"/>
              <w:rPr>
                <w:rFonts w:eastAsiaTheme="minorEastAsia" w:cstheme="majorBidi"/>
                <w:color w:val="000000" w:themeColor="text1"/>
              </w:rPr>
            </w:pPr>
            <w:r>
              <w:rPr>
                <w:lang w:val="es-ES"/>
              </w:rPr>
              <w:t>INFCOM</w:t>
            </w:r>
          </w:p>
        </w:tc>
        <w:tc>
          <w:tcPr>
            <w:tcW w:w="2109" w:type="dxa"/>
          </w:tcPr>
          <w:p w14:paraId="36A94049" w14:textId="77777777" w:rsidR="003E5D1B" w:rsidRDefault="00E26782">
            <w:pPr>
              <w:spacing w:line="240" w:lineRule="exact"/>
              <w:rPr>
                <w:rFonts w:eastAsiaTheme="minorEastAsia" w:cstheme="majorBidi"/>
                <w:color w:val="000000" w:themeColor="text1"/>
              </w:rPr>
            </w:pPr>
            <w:r>
              <w:rPr>
                <w:lang w:val="es-ES"/>
              </w:rPr>
              <w:t>SERCOM</w:t>
            </w:r>
          </w:p>
        </w:tc>
        <w:tc>
          <w:tcPr>
            <w:tcW w:w="2109" w:type="dxa"/>
          </w:tcPr>
          <w:p w14:paraId="1613F71B" w14:textId="77777777" w:rsidR="003E5D1B" w:rsidRDefault="003E5D1B">
            <w:pPr>
              <w:spacing w:line="240" w:lineRule="exact"/>
              <w:rPr>
                <w:rFonts w:eastAsiaTheme="minorEastAsia" w:cstheme="majorBidi"/>
                <w:color w:val="000000" w:themeColor="text1"/>
                <w:lang w:eastAsia="zh-TW"/>
              </w:rPr>
            </w:pPr>
          </w:p>
        </w:tc>
      </w:tr>
      <w:tr w:rsidR="003E5D1B" w14:paraId="3E2FA347" w14:textId="77777777">
        <w:tc>
          <w:tcPr>
            <w:tcW w:w="2689" w:type="dxa"/>
          </w:tcPr>
          <w:p w14:paraId="492A4D35" w14:textId="77777777" w:rsidR="003E5D1B" w:rsidRDefault="00E26782">
            <w:pPr>
              <w:spacing w:line="240" w:lineRule="exact"/>
              <w:rPr>
                <w:rFonts w:eastAsiaTheme="minorEastAsia" w:cstheme="majorBidi"/>
                <w:color w:val="000000" w:themeColor="text1"/>
              </w:rPr>
            </w:pPr>
            <w:r>
              <w:rPr>
                <w:lang w:val="es-ES"/>
              </w:rPr>
              <w:t>Será decidida por:</w:t>
            </w:r>
          </w:p>
        </w:tc>
        <w:tc>
          <w:tcPr>
            <w:tcW w:w="2109" w:type="dxa"/>
          </w:tcPr>
          <w:p w14:paraId="76E0CB48" w14:textId="77777777" w:rsidR="003E5D1B" w:rsidRDefault="00E26782">
            <w:pPr>
              <w:spacing w:line="240" w:lineRule="exact"/>
              <w:rPr>
                <w:rFonts w:eastAsiaTheme="minorEastAsia" w:cstheme="majorBidi"/>
                <w:color w:val="000000" w:themeColor="text1"/>
              </w:rPr>
            </w:pPr>
            <w:r>
              <w:rPr>
                <w:lang w:val="es-ES"/>
              </w:rPr>
              <w:t>Consejo Ejecutivo o Congreso</w:t>
            </w:r>
          </w:p>
        </w:tc>
        <w:tc>
          <w:tcPr>
            <w:tcW w:w="2109" w:type="dxa"/>
          </w:tcPr>
          <w:p w14:paraId="28E391FA" w14:textId="77777777" w:rsidR="003E5D1B" w:rsidRDefault="003E5D1B">
            <w:pPr>
              <w:spacing w:line="240" w:lineRule="exact"/>
              <w:rPr>
                <w:rFonts w:eastAsiaTheme="minorEastAsia" w:cstheme="majorBidi"/>
                <w:color w:val="000000" w:themeColor="text1"/>
                <w:lang w:eastAsia="zh-TW"/>
              </w:rPr>
            </w:pPr>
          </w:p>
        </w:tc>
        <w:tc>
          <w:tcPr>
            <w:tcW w:w="2109" w:type="dxa"/>
          </w:tcPr>
          <w:p w14:paraId="3D63F15F" w14:textId="77777777" w:rsidR="003E5D1B" w:rsidRDefault="003E5D1B">
            <w:pPr>
              <w:spacing w:line="240" w:lineRule="exact"/>
              <w:rPr>
                <w:rFonts w:eastAsiaTheme="minorEastAsia" w:cstheme="majorBidi"/>
                <w:color w:val="000000" w:themeColor="text1"/>
                <w:lang w:eastAsia="zh-TW"/>
              </w:rPr>
            </w:pPr>
          </w:p>
        </w:tc>
      </w:tr>
      <w:tr w:rsidR="003E5D1B" w14:paraId="08B4D6A7" w14:textId="77777777">
        <w:tc>
          <w:tcPr>
            <w:tcW w:w="9016" w:type="dxa"/>
            <w:gridSpan w:val="4"/>
          </w:tcPr>
          <w:p w14:paraId="4497A57F" w14:textId="77777777" w:rsidR="003E5D1B" w:rsidRDefault="00E26782">
            <w:pPr>
              <w:spacing w:line="240" w:lineRule="exact"/>
              <w:jc w:val="center"/>
              <w:rPr>
                <w:rFonts w:eastAsiaTheme="minorEastAsia" w:cstheme="majorBidi"/>
                <w:i/>
                <w:iCs/>
                <w:color w:val="000000" w:themeColor="text1"/>
              </w:rPr>
            </w:pPr>
            <w:r>
              <w:rPr>
                <w:i/>
                <w:iCs/>
                <w:lang w:val="es-ES"/>
              </w:rPr>
              <w:t>Cumplimiento</w:t>
            </w:r>
          </w:p>
        </w:tc>
      </w:tr>
      <w:tr w:rsidR="003E5D1B" w:rsidRPr="006705A7" w14:paraId="7331ACDD" w14:textId="77777777">
        <w:tc>
          <w:tcPr>
            <w:tcW w:w="2689" w:type="dxa"/>
          </w:tcPr>
          <w:p w14:paraId="1C9B6C28" w14:textId="77777777" w:rsidR="003E5D1B" w:rsidRDefault="00E26782">
            <w:pPr>
              <w:spacing w:line="240" w:lineRule="exact"/>
              <w:rPr>
                <w:rFonts w:eastAsiaTheme="minorEastAsia" w:cstheme="majorBidi"/>
                <w:color w:val="000000" w:themeColor="text1"/>
              </w:rPr>
            </w:pPr>
            <w:r>
              <w:rPr>
                <w:lang w:val="es-ES"/>
              </w:rPr>
              <w:t>Será supervisado por:</w:t>
            </w:r>
          </w:p>
        </w:tc>
        <w:tc>
          <w:tcPr>
            <w:tcW w:w="2109" w:type="dxa"/>
          </w:tcPr>
          <w:p w14:paraId="119109CF" w14:textId="77777777" w:rsidR="003E5D1B" w:rsidRPr="008357EA" w:rsidRDefault="00E26782">
            <w:pPr>
              <w:spacing w:line="240" w:lineRule="exact"/>
              <w:rPr>
                <w:rFonts w:eastAsiaTheme="minorEastAsia" w:cstheme="majorBidi"/>
                <w:color w:val="000000" w:themeColor="text1"/>
                <w:lang w:val="es-419"/>
              </w:rPr>
            </w:pPr>
            <w:r>
              <w:rPr>
                <w:lang w:val="es-ES"/>
              </w:rPr>
              <w:t>SC-MMO de la SERCOM</w:t>
            </w:r>
          </w:p>
        </w:tc>
        <w:tc>
          <w:tcPr>
            <w:tcW w:w="2109" w:type="dxa"/>
          </w:tcPr>
          <w:p w14:paraId="0432046C" w14:textId="77777777" w:rsidR="003E5D1B" w:rsidRPr="008357EA" w:rsidRDefault="003E5D1B">
            <w:pPr>
              <w:spacing w:line="240" w:lineRule="exact"/>
              <w:rPr>
                <w:rFonts w:eastAsiaTheme="minorEastAsia" w:cstheme="majorBidi"/>
                <w:color w:val="000000" w:themeColor="text1"/>
                <w:lang w:val="es-419" w:eastAsia="zh-TW"/>
              </w:rPr>
            </w:pPr>
          </w:p>
        </w:tc>
        <w:tc>
          <w:tcPr>
            <w:tcW w:w="2109" w:type="dxa"/>
          </w:tcPr>
          <w:p w14:paraId="0DE05BE2" w14:textId="77777777" w:rsidR="003E5D1B" w:rsidRPr="008357EA" w:rsidRDefault="003E5D1B">
            <w:pPr>
              <w:spacing w:line="240" w:lineRule="exact"/>
              <w:rPr>
                <w:rFonts w:eastAsiaTheme="minorEastAsia" w:cstheme="majorBidi"/>
                <w:color w:val="000000" w:themeColor="text1"/>
                <w:lang w:val="es-419" w:eastAsia="zh-TW"/>
              </w:rPr>
            </w:pPr>
          </w:p>
        </w:tc>
      </w:tr>
      <w:tr w:rsidR="003E5D1B" w14:paraId="14EDCB16" w14:textId="77777777">
        <w:tc>
          <w:tcPr>
            <w:tcW w:w="2689" w:type="dxa"/>
          </w:tcPr>
          <w:p w14:paraId="53C18A3A" w14:textId="77777777" w:rsidR="003E5D1B" w:rsidRDefault="00E26782">
            <w:pPr>
              <w:spacing w:line="240" w:lineRule="exact"/>
              <w:rPr>
                <w:rFonts w:eastAsiaTheme="minorEastAsia" w:cstheme="majorBidi"/>
                <w:color w:val="000000" w:themeColor="text1"/>
              </w:rPr>
            </w:pPr>
            <w:r>
              <w:rPr>
                <w:lang w:val="es-ES"/>
              </w:rPr>
              <w:t>Deberá informarse a:</w:t>
            </w:r>
          </w:p>
        </w:tc>
        <w:tc>
          <w:tcPr>
            <w:tcW w:w="2109" w:type="dxa"/>
          </w:tcPr>
          <w:p w14:paraId="42E0BB4C" w14:textId="77777777" w:rsidR="003E5D1B" w:rsidRDefault="00E26782">
            <w:pPr>
              <w:spacing w:line="240" w:lineRule="exact"/>
              <w:rPr>
                <w:rFonts w:eastAsiaTheme="minorEastAsia" w:cstheme="majorBidi"/>
                <w:color w:val="000000" w:themeColor="text1"/>
              </w:rPr>
            </w:pPr>
            <w:r>
              <w:rPr>
                <w:lang w:val="es-ES"/>
              </w:rPr>
              <w:t>INFCOM</w:t>
            </w:r>
          </w:p>
        </w:tc>
        <w:tc>
          <w:tcPr>
            <w:tcW w:w="2109" w:type="dxa"/>
          </w:tcPr>
          <w:p w14:paraId="427E1F7C" w14:textId="77777777" w:rsidR="003E5D1B" w:rsidRDefault="00E26782">
            <w:pPr>
              <w:spacing w:line="240" w:lineRule="exact"/>
              <w:rPr>
                <w:rFonts w:eastAsiaTheme="minorEastAsia" w:cstheme="majorBidi"/>
                <w:color w:val="000000" w:themeColor="text1"/>
              </w:rPr>
            </w:pPr>
            <w:r>
              <w:rPr>
                <w:lang w:val="es-ES"/>
              </w:rPr>
              <w:t>SERCOM</w:t>
            </w:r>
          </w:p>
        </w:tc>
        <w:tc>
          <w:tcPr>
            <w:tcW w:w="2109" w:type="dxa"/>
          </w:tcPr>
          <w:p w14:paraId="7B8ABFD2" w14:textId="77777777" w:rsidR="003E5D1B" w:rsidRDefault="003E5D1B">
            <w:pPr>
              <w:spacing w:line="240" w:lineRule="exact"/>
              <w:rPr>
                <w:rFonts w:eastAsiaTheme="minorEastAsia" w:cstheme="majorBidi"/>
                <w:color w:val="000000" w:themeColor="text1"/>
                <w:lang w:eastAsia="zh-TW"/>
              </w:rPr>
            </w:pPr>
          </w:p>
        </w:tc>
      </w:tr>
    </w:tbl>
    <w:p w14:paraId="0194BEC6" w14:textId="7FBF2BA8" w:rsidR="003E5D1B" w:rsidRPr="008357EA" w:rsidRDefault="00E26782">
      <w:pPr>
        <w:keepNext/>
        <w:tabs>
          <w:tab w:val="clear" w:pos="1134"/>
        </w:tabs>
        <w:spacing w:before="480" w:after="200" w:line="276" w:lineRule="auto"/>
        <w:ind w:left="1123" w:hanging="1123"/>
        <w:jc w:val="left"/>
        <w:outlineLvl w:val="3"/>
        <w:rPr>
          <w:rFonts w:eastAsiaTheme="minorHAnsi" w:cstheme="majorBidi"/>
          <w:b/>
          <w:bCs/>
          <w:caps/>
          <w:color w:val="000000" w:themeColor="text1"/>
          <w:lang w:val="es-419"/>
        </w:rPr>
      </w:pPr>
      <w:bookmarkStart w:id="216" w:name="_Toc113003345"/>
      <w:bookmarkStart w:id="217" w:name="_Toc113024470"/>
      <w:bookmarkStart w:id="218" w:name="_Toc117502001"/>
      <w:r>
        <w:rPr>
          <w:b/>
          <w:bCs/>
          <w:lang w:val="es-ES"/>
        </w:rPr>
        <w:t>3.2</w:t>
      </w:r>
      <w:r>
        <w:rPr>
          <w:lang w:val="es-ES"/>
        </w:rPr>
        <w:tab/>
      </w:r>
      <w:r>
        <w:rPr>
          <w:b/>
          <w:bCs/>
          <w:lang w:val="es-ES"/>
        </w:rPr>
        <w:t>PROCEDIMIENTO DE CREACIÓN DE CENTROS CON NUEVAS ACTIVIDADES</w:t>
      </w:r>
      <w:bookmarkEnd w:id="216"/>
      <w:bookmarkEnd w:id="217"/>
      <w:bookmarkEnd w:id="218"/>
    </w:p>
    <w:p w14:paraId="426752C0" w14:textId="41275173" w:rsidR="003E5D1B" w:rsidRPr="008357EA" w:rsidRDefault="00E26782">
      <w:pPr>
        <w:spacing w:after="240" w:line="240" w:lineRule="exact"/>
        <w:rPr>
          <w:rFonts w:eastAsiaTheme="minorEastAsia" w:cstheme="majorBidi"/>
          <w:b/>
          <w:bCs/>
          <w:caps/>
          <w:color w:val="000000" w:themeColor="text1"/>
          <w:lang w:val="es-419"/>
        </w:rPr>
      </w:pPr>
      <w:r>
        <w:rPr>
          <w:lang w:val="es-ES"/>
        </w:rPr>
        <w:t xml:space="preserve">El siguiente procedimiento se aplica a la hora de incorporar un nuevo tipo de centro del GDPFS en el </w:t>
      </w:r>
      <w:r w:rsidR="00B36420" w:rsidRPr="00B36420">
        <w:rPr>
          <w:i/>
          <w:iCs/>
          <w:lang w:val="es-ES"/>
        </w:rPr>
        <w:t>Manual del GDPFS</w:t>
      </w:r>
      <w:r>
        <w:rPr>
          <w:lang w:val="es-ES"/>
        </w:rPr>
        <w:t>, es decir, a la hora de crear centros del GDPFS que se ocupen de nuevas actividades (véase el diagrama que figura a continuación):</w:t>
      </w:r>
    </w:p>
    <w:p w14:paraId="10DE58A9" w14:textId="77777777" w:rsidR="003E5D1B" w:rsidRPr="008357EA" w:rsidRDefault="00E26782">
      <w:pPr>
        <w:widowControl w:val="0"/>
        <w:numPr>
          <w:ilvl w:val="0"/>
          <w:numId w:val="34"/>
        </w:numPr>
        <w:tabs>
          <w:tab w:val="clear" w:pos="1134"/>
        </w:tabs>
        <w:spacing w:after="240"/>
        <w:rPr>
          <w:rFonts w:eastAsiaTheme="minorHAnsi" w:cstheme="minorBidi"/>
          <w:lang w:val="es-419"/>
        </w:rPr>
      </w:pPr>
      <w:r>
        <w:rPr>
          <w:lang w:val="es-ES"/>
        </w:rPr>
        <w:t xml:space="preserve">A petición de un organismo integrante de la OMM pertinente (por ejemplo, una asociación regional o una comisión técnica), una comisión técnica o un equipo de expertos de un programa establecerá los requisitos que los nuevos tipos de centros deberán cumplir, entre ellos los criterios y las funciones del nuevo tipo de centro y la lista de productos que deberá poner a disposición en el contexto del GDPFS. </w:t>
      </w:r>
    </w:p>
    <w:p w14:paraId="3CFC0038" w14:textId="77777777" w:rsidR="003E5D1B" w:rsidRPr="008357EA" w:rsidRDefault="00E26782">
      <w:pPr>
        <w:numPr>
          <w:ilvl w:val="0"/>
          <w:numId w:val="34"/>
        </w:numPr>
        <w:tabs>
          <w:tab w:val="clear" w:pos="1134"/>
        </w:tabs>
        <w:spacing w:after="240"/>
        <w:rPr>
          <w:rFonts w:eastAsia="Times New Roman" w:cs="Times New Roman"/>
          <w:lang w:val="es-419"/>
        </w:rPr>
      </w:pPr>
      <w:r>
        <w:rPr>
          <w:lang w:val="es-ES"/>
        </w:rPr>
        <w:t xml:space="preserve">Los criterios y las funciones del nuevo tipo de centro deberán ser aprobados por el grupo de gestión de la comisión técnica o el comité director del programa pertinente, y deberán presentarse a la INFCOM a través de su presidente. </w:t>
      </w:r>
    </w:p>
    <w:p w14:paraId="2AA1405B" w14:textId="77777777" w:rsidR="003E5D1B" w:rsidRPr="008357EA" w:rsidRDefault="00E26782">
      <w:pPr>
        <w:widowControl w:val="0"/>
        <w:numPr>
          <w:ilvl w:val="0"/>
          <w:numId w:val="34"/>
        </w:numPr>
        <w:tabs>
          <w:tab w:val="clear" w:pos="1134"/>
        </w:tabs>
        <w:spacing w:after="240"/>
        <w:rPr>
          <w:rFonts w:eastAsiaTheme="minorHAnsi" w:cstheme="minorBidi"/>
          <w:lang w:val="es-419"/>
        </w:rPr>
      </w:pPr>
      <w:r>
        <w:rPr>
          <w:lang w:val="es-ES"/>
        </w:rPr>
        <w:t xml:space="preserve">El presidente de la INFCOM decidirá acerca del equipo de expertos de esa comisión que se encargará de examinar y pulir la propuesta del nuevo tipo de centro, de conformidad con el procedimiento normalizado de modificación y bajo la coordinación de la Secretaría de la OMM. </w:t>
      </w:r>
    </w:p>
    <w:p w14:paraId="072EBF00" w14:textId="0BB043FE" w:rsidR="003E5D1B" w:rsidRPr="008357EA" w:rsidRDefault="00E26782">
      <w:pPr>
        <w:numPr>
          <w:ilvl w:val="0"/>
          <w:numId w:val="34"/>
        </w:numPr>
        <w:tabs>
          <w:tab w:val="clear" w:pos="1134"/>
        </w:tabs>
        <w:spacing w:after="240"/>
        <w:rPr>
          <w:rFonts w:eastAsia="Times New Roman" w:cs="Times New Roman"/>
          <w:lang w:val="es-419"/>
        </w:rPr>
      </w:pPr>
      <w:r>
        <w:rPr>
          <w:lang w:val="es-ES"/>
        </w:rPr>
        <w:lastRenderedPageBreak/>
        <w:t xml:space="preserve">La Secretaría de la OMM presentará la propuesta revisada de un nuevo tipo de centro a la INFCOM, que examinará la posibilidad de incluirlo en el </w:t>
      </w:r>
      <w:r w:rsidR="00B36420" w:rsidRPr="00B36420">
        <w:rPr>
          <w:i/>
          <w:iCs/>
          <w:lang w:val="es-ES"/>
        </w:rPr>
        <w:t>Manual del GDPFS</w:t>
      </w:r>
      <w:r>
        <w:rPr>
          <w:lang w:val="es-ES"/>
        </w:rPr>
        <w:t xml:space="preserve"> y recomendará su inclusión al Consejo Ejecutivo o al Congreso.</w:t>
      </w:r>
    </w:p>
    <w:p w14:paraId="2762119B" w14:textId="77777777" w:rsidR="003E5D1B" w:rsidRDefault="00E26782">
      <w:bookmarkStart w:id="219" w:name="_Toc112998771"/>
      <w:bookmarkStart w:id="220" w:name="_Toc113003346"/>
      <w:r>
        <w:rPr>
          <w:noProof/>
        </w:rPr>
        <w:drawing>
          <wp:inline distT="0" distB="0" distL="0" distR="0" wp14:anchorId="02EE3702" wp14:editId="07C101A6">
            <wp:extent cx="6029325" cy="3448191"/>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032091" cy="3449773"/>
                    </a:xfrm>
                    <a:prstGeom prst="rect">
                      <a:avLst/>
                    </a:prstGeom>
                  </pic:spPr>
                </pic:pic>
              </a:graphicData>
            </a:graphic>
          </wp:inline>
        </w:drawing>
      </w:r>
      <w:bookmarkEnd w:id="219"/>
      <w:bookmarkEnd w:id="220"/>
    </w:p>
    <w:p w14:paraId="784A4065" w14:textId="44DE9084" w:rsidR="003E5D1B" w:rsidRPr="008357EA" w:rsidRDefault="00E26782">
      <w:pPr>
        <w:keepNext/>
        <w:tabs>
          <w:tab w:val="clear" w:pos="1134"/>
        </w:tabs>
        <w:spacing w:before="480" w:after="200" w:line="276" w:lineRule="auto"/>
        <w:ind w:left="1123" w:hanging="1123"/>
        <w:jc w:val="left"/>
        <w:outlineLvl w:val="3"/>
        <w:rPr>
          <w:rFonts w:eastAsiaTheme="minorHAnsi" w:cstheme="majorBidi"/>
          <w:b/>
          <w:bCs/>
          <w:caps/>
          <w:color w:val="000000"/>
          <w:shd w:val="clear" w:color="auto" w:fill="FFFFFF"/>
          <w:lang w:val="es-419"/>
        </w:rPr>
      </w:pPr>
      <w:bookmarkStart w:id="221" w:name="_Toc113003347"/>
      <w:bookmarkStart w:id="222" w:name="_Toc113024471"/>
      <w:bookmarkStart w:id="223" w:name="_Toc117502002"/>
      <w:r>
        <w:rPr>
          <w:b/>
          <w:bCs/>
          <w:lang w:val="es-ES"/>
        </w:rPr>
        <w:t>3.3</w:t>
      </w:r>
      <w:r>
        <w:rPr>
          <w:lang w:val="es-ES"/>
        </w:rPr>
        <w:tab/>
      </w:r>
      <w:r w:rsidR="00674BBB">
        <w:rPr>
          <w:b/>
          <w:bCs/>
          <w:lang w:val="es-ES"/>
        </w:rPr>
        <w:t>PROCEDIMIENTO PARA DESIGNAR UN CENTRO METEOROLÓGICO REGIONAL ESPECIALIZADO</w:t>
      </w:r>
      <w:bookmarkEnd w:id="221"/>
      <w:bookmarkEnd w:id="222"/>
      <w:bookmarkEnd w:id="223"/>
    </w:p>
    <w:p w14:paraId="539561C5" w14:textId="6443E9E5" w:rsidR="003E5D1B" w:rsidRPr="008357EA" w:rsidRDefault="00E26782">
      <w:pPr>
        <w:spacing w:after="240" w:line="240" w:lineRule="exact"/>
        <w:rPr>
          <w:rFonts w:eastAsiaTheme="minorEastAsia" w:cstheme="majorBidi"/>
          <w:color w:val="000000" w:themeColor="text1"/>
          <w:lang w:val="es-419"/>
        </w:rPr>
      </w:pPr>
      <w:r>
        <w:rPr>
          <w:lang w:val="es-ES"/>
        </w:rPr>
        <w:t xml:space="preserve">Para designar un nuevo </w:t>
      </w:r>
      <w:r w:rsidR="00A95DEF">
        <w:rPr>
          <w:lang w:val="es-ES"/>
        </w:rPr>
        <w:t>CMRE</w:t>
      </w:r>
      <w:r>
        <w:rPr>
          <w:lang w:val="es-ES"/>
        </w:rPr>
        <w:t xml:space="preserve">, es obligatorio que el centro que solicite la designación cumpla los requisitos técnicos que se estipulan en el </w:t>
      </w:r>
      <w:r w:rsidR="002D6434" w:rsidRPr="002D6434">
        <w:rPr>
          <w:i/>
          <w:iCs/>
          <w:lang w:val="es-ES"/>
        </w:rPr>
        <w:t>Manual del Sistema Mundial de Proceso de Datos y de Predicción</w:t>
      </w:r>
      <w:r w:rsidR="008357EA">
        <w:rPr>
          <w:lang w:val="es-ES"/>
        </w:rPr>
        <w:t xml:space="preserve"> (</w:t>
      </w:r>
      <w:r w:rsidR="00EB4587">
        <w:rPr>
          <w:lang w:val="es-ES"/>
        </w:rPr>
        <w:t>OMM</w:t>
      </w:r>
      <w:r w:rsidR="00EB4587">
        <w:rPr>
          <w:lang w:val="es-ES"/>
        </w:rPr>
        <w:noBreakHyphen/>
        <w:t>Nº</w:t>
      </w:r>
      <w:r w:rsidR="0093047C">
        <w:rPr>
          <w:lang w:val="es-ES"/>
        </w:rPr>
        <w:t> </w:t>
      </w:r>
      <w:r w:rsidR="008357EA">
        <w:rPr>
          <w:lang w:val="es-ES"/>
        </w:rPr>
        <w:t>485).</w:t>
      </w:r>
      <w:r>
        <w:rPr>
          <w:lang w:val="es-ES"/>
        </w:rPr>
        <w:t xml:space="preserve"> Es importante considerar la designación de un centro cuando este responda a las necesidades de los Miembros de la región que han de recibir y usar los productos y servicios del centro. En otras palabras, aunque un SMHN sea capaz de cumplir los requisitos técnicos necesarios, solo se considerará la posibilidad de designarlo si se determina que los usuarios tienen necesidades en relación con la actividad correspondiente. Implementar un conjunto óptimo de </w:t>
      </w:r>
      <w:r w:rsidR="00A95DEF">
        <w:rPr>
          <w:lang w:val="es-ES"/>
        </w:rPr>
        <w:t>CMRE</w:t>
      </w:r>
      <w:r>
        <w:rPr>
          <w:lang w:val="es-ES"/>
        </w:rPr>
        <w:t xml:space="preserve"> permitirá que la OMM en su conjunto use los recursos de la forma más eficaz posible, tanto desde el punto de vista del Miembro o Miembros que albergarán los centros como desde el de los Miembros que recibirán y harán uso de los servicios. Las comisiones técnicas desempeñan un papel importante en</w:t>
      </w:r>
      <w:r w:rsidR="00674BBB">
        <w:rPr>
          <w:lang w:val="es-ES"/>
        </w:rPr>
        <w:t xml:space="preserve"> </w:t>
      </w:r>
      <w:r w:rsidR="00BE17FD">
        <w:rPr>
          <w:lang w:val="es-ES"/>
        </w:rPr>
        <w:t>cuanto</w:t>
      </w:r>
      <w:r w:rsidR="00674BBB">
        <w:rPr>
          <w:lang w:val="es-ES"/>
        </w:rPr>
        <w:t xml:space="preserve"> a</w:t>
      </w:r>
      <w:r>
        <w:rPr>
          <w:lang w:val="es-ES"/>
        </w:rPr>
        <w:t xml:space="preserve"> los aspectos técnicos, y las asociaciones regionales (o los órganos regionales alternativos, como los órganos que se ocupan de los ciclones tropicales) desempeñan un papel importante a la hora de evaluar sus propias necesidades y de convocar a sus Miembros para </w:t>
      </w:r>
      <w:r w:rsidR="00674BBB">
        <w:rPr>
          <w:lang w:val="es-ES"/>
        </w:rPr>
        <w:t xml:space="preserve">que </w:t>
      </w:r>
      <w:r>
        <w:rPr>
          <w:lang w:val="es-ES"/>
        </w:rPr>
        <w:t xml:space="preserve">alberguen un </w:t>
      </w:r>
      <w:r w:rsidR="00A95DEF">
        <w:rPr>
          <w:lang w:val="es-ES"/>
        </w:rPr>
        <w:t>CMRE</w:t>
      </w:r>
      <w:r>
        <w:rPr>
          <w:lang w:val="es-ES"/>
        </w:rPr>
        <w:t xml:space="preserve"> cuando sea necesario.</w:t>
      </w:r>
    </w:p>
    <w:p w14:paraId="24D49ECE" w14:textId="3ED5806B" w:rsidR="003E5D1B" w:rsidRPr="008357EA" w:rsidRDefault="00E26782">
      <w:pPr>
        <w:keepNext/>
        <w:spacing w:before="240" w:after="240" w:line="240" w:lineRule="exact"/>
        <w:ind w:left="1123" w:hanging="1123"/>
        <w:jc w:val="left"/>
        <w:outlineLvl w:val="4"/>
        <w:rPr>
          <w:b/>
          <w:bCs/>
          <w:color w:val="000000" w:themeColor="text1"/>
          <w:lang w:val="es-419"/>
        </w:rPr>
      </w:pPr>
      <w:bookmarkStart w:id="224" w:name="_Toc113003348"/>
      <w:bookmarkStart w:id="225" w:name="_Toc113024472"/>
      <w:bookmarkStart w:id="226" w:name="_Toc117502003"/>
      <w:r>
        <w:rPr>
          <w:b/>
          <w:bCs/>
          <w:lang w:val="es-ES"/>
        </w:rPr>
        <w:t>3.3.1</w:t>
      </w:r>
      <w:r>
        <w:rPr>
          <w:lang w:val="es-ES"/>
        </w:rPr>
        <w:t xml:space="preserve"> </w:t>
      </w:r>
      <w:r>
        <w:rPr>
          <w:b/>
          <w:bCs/>
          <w:lang w:val="es-ES"/>
        </w:rPr>
        <w:t>Preparación</w:t>
      </w:r>
      <w:bookmarkEnd w:id="224"/>
      <w:bookmarkEnd w:id="225"/>
      <w:bookmarkEnd w:id="226"/>
    </w:p>
    <w:p w14:paraId="0BDD0F51" w14:textId="77777777" w:rsidR="003E5D1B" w:rsidRPr="008357EA" w:rsidRDefault="00E26782">
      <w:pPr>
        <w:spacing w:after="240" w:line="240" w:lineRule="exact"/>
        <w:rPr>
          <w:rFonts w:eastAsiaTheme="minorEastAsia" w:cstheme="majorBidi"/>
          <w:color w:val="000000" w:themeColor="text1"/>
          <w:lang w:val="es-419"/>
        </w:rPr>
      </w:pPr>
      <w:r>
        <w:rPr>
          <w:lang w:val="es-ES"/>
        </w:rPr>
        <w:t>1) Evaluación de las necesidades de los Miembros</w:t>
      </w:r>
    </w:p>
    <w:p w14:paraId="3AA15F08" w14:textId="5C705B78" w:rsidR="003E5D1B" w:rsidRPr="008357EA" w:rsidRDefault="00E26782">
      <w:pPr>
        <w:spacing w:after="240" w:line="240" w:lineRule="exact"/>
        <w:rPr>
          <w:rFonts w:eastAsiaTheme="minorEastAsia" w:cstheme="majorBidi"/>
          <w:color w:val="000000" w:themeColor="text1"/>
          <w:lang w:val="es-419"/>
        </w:rPr>
      </w:pPr>
      <w:r>
        <w:rPr>
          <w:lang w:val="es-ES"/>
        </w:rPr>
        <w:t xml:space="preserve">Las asociaciones regionales (o los órganos regionales alternativos) desempeñan un papel importante a la hora de evaluar las necesidades de sus Miembros en lo que atañe a los productos y servicios de proceso de datos y de predicción, y a </w:t>
      </w:r>
      <w:r w:rsidR="00BE17FD">
        <w:rPr>
          <w:lang w:val="es-ES"/>
        </w:rPr>
        <w:t xml:space="preserve">la hora </w:t>
      </w:r>
      <w:r>
        <w:rPr>
          <w:lang w:val="es-ES"/>
        </w:rPr>
        <w:t xml:space="preserve">de convocar a sus Miembros para que alberguen un </w:t>
      </w:r>
      <w:r w:rsidR="00A95DEF">
        <w:rPr>
          <w:lang w:val="es-ES"/>
        </w:rPr>
        <w:t>CMRE</w:t>
      </w:r>
      <w:r>
        <w:rPr>
          <w:lang w:val="es-ES"/>
        </w:rPr>
        <w:t xml:space="preserve"> cuando sea necesario. Se recomienda encarecidamente hacer una encuesta de necesidades para apoyar el proceso de evaluación. En la evaluación se deben tener en cuenta todo tipo de aplicaciones, así como a los usuarios nacionales e internacionales. Sobre la base de los resultados de la encuesta, las asociaciones regionales (o los órganos regionales </w:t>
      </w:r>
      <w:r>
        <w:rPr>
          <w:lang w:val="es-ES"/>
        </w:rPr>
        <w:lastRenderedPageBreak/>
        <w:t xml:space="preserve">alternativos) deberían convocar a sus Miembros para que albergaran un </w:t>
      </w:r>
      <w:r w:rsidR="00A95DEF">
        <w:rPr>
          <w:lang w:val="es-ES"/>
        </w:rPr>
        <w:t>CMRE</w:t>
      </w:r>
      <w:r>
        <w:rPr>
          <w:lang w:val="es-ES"/>
        </w:rPr>
        <w:t xml:space="preserve"> cuando fuera necesario. Los miembros que deseen albergar un </w:t>
      </w:r>
      <w:r w:rsidR="00A95DEF">
        <w:rPr>
          <w:lang w:val="es-ES"/>
        </w:rPr>
        <w:t>CMRE</w:t>
      </w:r>
      <w:r>
        <w:rPr>
          <w:lang w:val="es-ES"/>
        </w:rPr>
        <w:t xml:space="preserve"> deberán asegurarse de que cumplen los requisitos regionales y solicitar el respaldo de su asociación regional antes de presentar su candidatura, ya sea mediante una decisión formal de dicha asociación (o de un órgano regional alternativo) o por medio de una carta oficial del presidente de la asociación regional (o del órgano regional alternativo). Se recomienda hacer esto como paso preparatorio aunque la asociación regional (o el órgano regional alternativo) participe en el proceso de aprobación de la designación. </w:t>
      </w:r>
    </w:p>
    <w:p w14:paraId="5BC7901E" w14:textId="0C22BFB9" w:rsidR="003E5D1B" w:rsidRPr="008357EA" w:rsidRDefault="00E26782">
      <w:pPr>
        <w:spacing w:after="240" w:line="240" w:lineRule="exact"/>
        <w:rPr>
          <w:rFonts w:eastAsiaTheme="minorEastAsia" w:cstheme="majorBidi"/>
          <w:color w:val="000000" w:themeColor="text1"/>
          <w:lang w:val="es-419"/>
        </w:rPr>
      </w:pPr>
      <w:r>
        <w:rPr>
          <w:lang w:val="es-ES"/>
        </w:rPr>
        <w:t xml:space="preserve">Los </w:t>
      </w:r>
      <w:r w:rsidR="00A95DEF">
        <w:rPr>
          <w:lang w:val="es-ES"/>
        </w:rPr>
        <w:t>CMRE</w:t>
      </w:r>
      <w:r>
        <w:rPr>
          <w:lang w:val="es-ES"/>
        </w:rPr>
        <w:t xml:space="preserve"> que se ocupan de coordinar actividades (denominados Centros Principales) y que son albergados por un Miembro o por dos Miembros de forma conjunta (como ocurre con el </w:t>
      </w:r>
      <w:r w:rsidR="00A95DEF">
        <w:rPr>
          <w:lang w:val="es-ES"/>
        </w:rPr>
        <w:t>CMRE</w:t>
      </w:r>
      <w:r>
        <w:rPr>
          <w:lang w:val="es-ES"/>
        </w:rPr>
        <w:t xml:space="preserve"> </w:t>
      </w:r>
      <w:r w:rsidR="006C57C6">
        <w:rPr>
          <w:lang w:val="es-ES"/>
        </w:rPr>
        <w:t xml:space="preserve">de </w:t>
      </w:r>
      <w:r>
        <w:rPr>
          <w:lang w:val="es-ES"/>
        </w:rPr>
        <w:t xml:space="preserve">Seúl y el </w:t>
      </w:r>
      <w:r w:rsidR="00A95DEF">
        <w:rPr>
          <w:lang w:val="es-ES"/>
        </w:rPr>
        <w:t>CMRE</w:t>
      </w:r>
      <w:r>
        <w:rPr>
          <w:lang w:val="es-ES"/>
        </w:rPr>
        <w:t xml:space="preserve"> </w:t>
      </w:r>
      <w:r w:rsidR="006C57C6">
        <w:rPr>
          <w:lang w:val="es-ES"/>
        </w:rPr>
        <w:t xml:space="preserve">de </w:t>
      </w:r>
      <w:r>
        <w:rPr>
          <w:lang w:val="es-ES"/>
        </w:rPr>
        <w:t xml:space="preserve">Washington, que albergan conjuntamente el Centro Principal que se ocupa de coordinar las predicciones a largo plazo mediante conjuntos multimodelos) no suelen necesitar </w:t>
      </w:r>
      <w:r w:rsidR="005E336F">
        <w:rPr>
          <w:lang w:val="es-ES"/>
        </w:rPr>
        <w:t xml:space="preserve">que se designen otros </w:t>
      </w:r>
      <w:r>
        <w:rPr>
          <w:lang w:val="es-ES"/>
        </w:rPr>
        <w:t xml:space="preserve">centros; no obstante, </w:t>
      </w:r>
      <w:r w:rsidR="005E336F">
        <w:rPr>
          <w:lang w:val="es-ES"/>
        </w:rPr>
        <w:t>esa necesidad</w:t>
      </w:r>
      <w:r>
        <w:rPr>
          <w:lang w:val="es-ES"/>
        </w:rPr>
        <w:t xml:space="preserve"> siempre deberá ser evaluad</w:t>
      </w:r>
      <w:r w:rsidR="005E336F">
        <w:rPr>
          <w:lang w:val="es-ES"/>
        </w:rPr>
        <w:t>a</w:t>
      </w:r>
      <w:r>
        <w:rPr>
          <w:lang w:val="es-ES"/>
        </w:rPr>
        <w:t xml:space="preserve"> por la comisión técnica correspondiente</w:t>
      </w:r>
      <w:r w:rsidR="0038717F">
        <w:rPr>
          <w:lang w:val="es-ES"/>
        </w:rPr>
        <w:t xml:space="preserve">. </w:t>
      </w:r>
    </w:p>
    <w:p w14:paraId="11F0C36A" w14:textId="504CA792" w:rsidR="003E5D1B" w:rsidRPr="008357EA" w:rsidRDefault="00E26782">
      <w:pPr>
        <w:spacing w:after="240" w:line="240" w:lineRule="exact"/>
        <w:rPr>
          <w:rFonts w:eastAsiaTheme="minorEastAsia" w:cstheme="majorBidi"/>
          <w:color w:val="000000" w:themeColor="text1"/>
          <w:lang w:val="es-419"/>
        </w:rPr>
      </w:pPr>
      <w:r>
        <w:rPr>
          <w:lang w:val="es-ES"/>
        </w:rPr>
        <w:t xml:space="preserve">El resumen de la actividad de cada </w:t>
      </w:r>
      <w:r w:rsidR="00A95DEF">
        <w:rPr>
          <w:lang w:val="es-ES"/>
        </w:rPr>
        <w:t>CMRE</w:t>
      </w:r>
      <w:r>
        <w:rPr>
          <w:lang w:val="es-ES"/>
        </w:rPr>
        <w:t xml:space="preserve"> que figura en el apéndice de la sección 2.3 de la presente Guía muestra el estado de implementación de los </w:t>
      </w:r>
      <w:r w:rsidR="00A95DEF">
        <w:rPr>
          <w:lang w:val="es-ES"/>
        </w:rPr>
        <w:t>CMRE</w:t>
      </w:r>
      <w:r>
        <w:rPr>
          <w:lang w:val="es-ES"/>
        </w:rPr>
        <w:t xml:space="preserve">. Esa información debe tenerse en cuenta en las primeras fases del proceso de designación: se debe considerar que, en el caso de algunas actividades de los </w:t>
      </w:r>
      <w:r w:rsidR="00A95DEF">
        <w:rPr>
          <w:lang w:val="es-ES"/>
        </w:rPr>
        <w:t>CMRE</w:t>
      </w:r>
      <w:r>
        <w:rPr>
          <w:lang w:val="es-ES"/>
        </w:rPr>
        <w:t>, ya se ha designado un número suficiente de centros de ese tipo que ofrecen una cobertura geográfica adecuada.</w:t>
      </w:r>
    </w:p>
    <w:p w14:paraId="5C857E4A" w14:textId="77777777" w:rsidR="003E5D1B" w:rsidRPr="008357EA" w:rsidRDefault="00E26782">
      <w:pPr>
        <w:spacing w:after="240" w:line="240" w:lineRule="exact"/>
        <w:rPr>
          <w:rFonts w:eastAsiaTheme="minorEastAsia" w:cstheme="majorBidi"/>
          <w:color w:val="000000" w:themeColor="text1"/>
          <w:lang w:val="es-419"/>
        </w:rPr>
      </w:pPr>
      <w:r>
        <w:rPr>
          <w:lang w:val="es-ES"/>
        </w:rPr>
        <w:t>2) Preparación y demostración</w:t>
      </w:r>
    </w:p>
    <w:p w14:paraId="084AD359" w14:textId="45C18F40" w:rsidR="003E5D1B" w:rsidRPr="008357EA" w:rsidRDefault="00E26782">
      <w:pPr>
        <w:spacing w:after="240" w:line="240" w:lineRule="exact"/>
        <w:rPr>
          <w:rFonts w:eastAsiaTheme="minorEastAsia" w:cstheme="majorBidi"/>
          <w:color w:val="000000" w:themeColor="text1"/>
          <w:lang w:val="es-419"/>
        </w:rPr>
      </w:pPr>
      <w:r>
        <w:rPr>
          <w:lang w:val="es-ES"/>
        </w:rPr>
        <w:t xml:space="preserve">Una vez confirmado que existe la necesidad, el centro candidato inicia el proceso destinado a demostrar que cumple los requisitos técnicos. Se recomienda notificar previamente al presidente de la asociación regional (o del órgano regional alternativo) y a la comisión o comisiones técnicas interesadas, así como al Secretario General de la OMM, y presentarles los planes de </w:t>
      </w:r>
      <w:r w:rsidR="008B7EE6">
        <w:rPr>
          <w:lang w:val="es-ES"/>
        </w:rPr>
        <w:t>ejecución</w:t>
      </w:r>
      <w:r>
        <w:rPr>
          <w:lang w:val="es-ES"/>
        </w:rPr>
        <w:t>.</w:t>
      </w:r>
    </w:p>
    <w:p w14:paraId="399AB77A" w14:textId="406757C8" w:rsidR="003E5D1B" w:rsidRPr="008357EA" w:rsidRDefault="00E26782">
      <w:pPr>
        <w:spacing w:after="240" w:line="240" w:lineRule="exact"/>
        <w:rPr>
          <w:rFonts w:eastAsiaTheme="minorEastAsia" w:cstheme="majorBidi"/>
          <w:color w:val="000000" w:themeColor="text1"/>
          <w:lang w:val="es-419"/>
        </w:rPr>
      </w:pPr>
      <w:r>
        <w:rPr>
          <w:lang w:val="es-ES"/>
        </w:rPr>
        <w:t xml:space="preserve">El centro candidato deberá cumplir los requisitos técnicos de los </w:t>
      </w:r>
      <w:r w:rsidR="00A95DEF">
        <w:rPr>
          <w:lang w:val="es-ES"/>
        </w:rPr>
        <w:t>CMRE</w:t>
      </w:r>
      <w:r>
        <w:rPr>
          <w:lang w:val="es-ES"/>
        </w:rPr>
        <w:t xml:space="preserve"> que se definen en el </w:t>
      </w:r>
      <w:r w:rsidR="002D6434" w:rsidRPr="002D6434">
        <w:rPr>
          <w:i/>
          <w:iCs/>
          <w:lang w:val="es-ES"/>
        </w:rPr>
        <w:t>Manual del Sistema Mundial de Proceso de Datos y de Predicción</w:t>
      </w:r>
      <w:r w:rsidR="008357EA">
        <w:rPr>
          <w:lang w:val="es-ES"/>
        </w:rPr>
        <w:t xml:space="preserve"> (</w:t>
      </w:r>
      <w:r w:rsidR="00EB4587">
        <w:rPr>
          <w:lang w:val="es-ES"/>
        </w:rPr>
        <w:t>OMM</w:t>
      </w:r>
      <w:r w:rsidR="00EB4587">
        <w:rPr>
          <w:lang w:val="es-ES"/>
        </w:rPr>
        <w:noBreakHyphen/>
        <w:t>Nº</w:t>
      </w:r>
      <w:r w:rsidR="0093047C">
        <w:rPr>
          <w:lang w:val="es-ES"/>
        </w:rPr>
        <w:t> </w:t>
      </w:r>
      <w:r w:rsidR="008357EA">
        <w:rPr>
          <w:lang w:val="es-ES"/>
        </w:rPr>
        <w:t>485).</w:t>
      </w:r>
      <w:r>
        <w:rPr>
          <w:lang w:val="es-ES"/>
        </w:rPr>
        <w:t xml:space="preserve"> Además de satisfacer los requisitos generales y los propios de cada actividad de los </w:t>
      </w:r>
      <w:r w:rsidR="00A95DEF">
        <w:rPr>
          <w:lang w:val="es-ES"/>
        </w:rPr>
        <w:t>CMRE</w:t>
      </w:r>
      <w:r>
        <w:rPr>
          <w:lang w:val="es-ES"/>
        </w:rPr>
        <w:t xml:space="preserve">, el centro candidato también </w:t>
      </w:r>
      <w:r w:rsidR="00F76518">
        <w:rPr>
          <w:lang w:val="es-ES"/>
        </w:rPr>
        <w:t>debería</w:t>
      </w:r>
      <w:r>
        <w:rPr>
          <w:lang w:val="es-ES"/>
        </w:rPr>
        <w:t xml:space="preserve"> contar con los recursos necesarios, como se indica en las secciones 1.6 y 3.4 del Manual. Aunque no se mencion</w:t>
      </w:r>
      <w:r w:rsidR="00F76518">
        <w:rPr>
          <w:lang w:val="es-ES"/>
        </w:rPr>
        <w:t>e</w:t>
      </w:r>
      <w:r>
        <w:rPr>
          <w:lang w:val="es-ES"/>
        </w:rPr>
        <w:t xml:space="preserve"> de forma explícita en el Manual, un </w:t>
      </w:r>
      <w:r w:rsidR="00A95DEF">
        <w:rPr>
          <w:lang w:val="es-ES"/>
        </w:rPr>
        <w:t>CMRE</w:t>
      </w:r>
      <w:r>
        <w:rPr>
          <w:lang w:val="es-ES"/>
        </w:rPr>
        <w:t xml:space="preserve"> básicamente tiene que contar con el personal, la infraestructura y el presupuesto necesarios para funcionar durante un período prolongado como centro designado, ya que se espera que los usuarios utilicen los productos y servicios de los </w:t>
      </w:r>
      <w:r w:rsidR="00A95DEF">
        <w:rPr>
          <w:lang w:val="es-ES"/>
        </w:rPr>
        <w:t>CMRE</w:t>
      </w:r>
      <w:r>
        <w:rPr>
          <w:lang w:val="es-ES"/>
        </w:rPr>
        <w:t xml:space="preserve"> para cumplir su mandato.</w:t>
      </w:r>
    </w:p>
    <w:p w14:paraId="7F7D9B5C" w14:textId="628CE81C" w:rsidR="003E5D1B" w:rsidRPr="008357EA" w:rsidRDefault="00F76518">
      <w:pPr>
        <w:spacing w:after="240" w:line="240" w:lineRule="exact"/>
        <w:rPr>
          <w:rFonts w:eastAsiaTheme="minorEastAsia" w:cstheme="majorBidi"/>
          <w:color w:val="000000" w:themeColor="text1"/>
          <w:lang w:val="es-419"/>
        </w:rPr>
      </w:pPr>
      <w:r>
        <w:rPr>
          <w:lang w:val="es-ES"/>
        </w:rPr>
        <w:t xml:space="preserve">El centro candidato desarrollará su propia capacidad para cumplir los requisitos técnicos y demostrará que es capaz de llevar a cabo sus actividades regionales realizándolas en la práctica durante un par de años. Algunas actividades de los </w:t>
      </w:r>
      <w:r w:rsidR="00A95DEF">
        <w:rPr>
          <w:lang w:val="es-ES"/>
        </w:rPr>
        <w:t>CMRE</w:t>
      </w:r>
      <w:r>
        <w:rPr>
          <w:lang w:val="es-ES"/>
        </w:rPr>
        <w:t xml:space="preserve"> se demostrarán en el marco de grupos, equipos o comités pertinentes (por ejemplo, la demostración del </w:t>
      </w:r>
      <w:r w:rsidR="00A95DEF">
        <w:rPr>
          <w:lang w:val="es-ES"/>
        </w:rPr>
        <w:t>CMRE</w:t>
      </w:r>
      <w:r>
        <w:rPr>
          <w:lang w:val="es-ES"/>
        </w:rPr>
        <w:t xml:space="preserve"> que se ocupa de las predicciones de tormentas de arena y polvo atmosféricos se realiza bajo la orientación y supervisión del Comité Director del Sistema de Evaluación y Asesoramiento para Avisos de Tormentas de Arena y Polvo (SDS-WAS)), teniendo en cuenta los antecedentes de establecimiento de actividades de los </w:t>
      </w:r>
      <w:r w:rsidR="00A95DEF">
        <w:rPr>
          <w:lang w:val="es-ES"/>
        </w:rPr>
        <w:t>CMRE</w:t>
      </w:r>
      <w:r>
        <w:rPr>
          <w:lang w:val="es-ES"/>
        </w:rPr>
        <w:t xml:space="preserve"> que se describen en el anexo de la sección 2.2 del </w:t>
      </w:r>
      <w:r w:rsidR="002D6434" w:rsidRPr="002D6434">
        <w:rPr>
          <w:i/>
          <w:iCs/>
          <w:lang w:val="es-ES"/>
        </w:rPr>
        <w:t>Manual del Sistema Mundial de Proceso de Datos y de Predicción</w:t>
      </w:r>
      <w:r w:rsidR="008357EA">
        <w:rPr>
          <w:lang w:val="es-ES"/>
        </w:rPr>
        <w:t xml:space="preserve"> (</w:t>
      </w:r>
      <w:r w:rsidR="00EB4587">
        <w:rPr>
          <w:lang w:val="es-ES"/>
        </w:rPr>
        <w:t>OMM</w:t>
      </w:r>
      <w:r w:rsidR="00EB4587">
        <w:rPr>
          <w:lang w:val="es-ES"/>
        </w:rPr>
        <w:noBreakHyphen/>
        <w:t>Nº</w:t>
      </w:r>
      <w:r w:rsidR="0093047C">
        <w:rPr>
          <w:lang w:val="es-ES"/>
        </w:rPr>
        <w:t> </w:t>
      </w:r>
      <w:r w:rsidR="008357EA">
        <w:rPr>
          <w:lang w:val="es-ES"/>
        </w:rPr>
        <w:t>485).</w:t>
      </w:r>
    </w:p>
    <w:p w14:paraId="10BE02AC" w14:textId="77777777" w:rsidR="003E5D1B" w:rsidRPr="008357EA" w:rsidRDefault="00E26782">
      <w:pPr>
        <w:rPr>
          <w:rFonts w:cstheme="majorBidi"/>
          <w:color w:val="000000" w:themeColor="text1"/>
          <w:lang w:val="es-419"/>
        </w:rPr>
      </w:pPr>
      <w:r>
        <w:rPr>
          <w:lang w:val="es-ES"/>
        </w:rPr>
        <w:t>3) Examen técnico</w:t>
      </w:r>
    </w:p>
    <w:p w14:paraId="647949D6" w14:textId="11DA6971" w:rsidR="003E5D1B" w:rsidRPr="008357EA" w:rsidRDefault="00E26782">
      <w:pPr>
        <w:spacing w:after="240" w:line="240" w:lineRule="exact"/>
        <w:rPr>
          <w:rFonts w:eastAsiaTheme="minorEastAsia" w:cstheme="majorBidi"/>
          <w:color w:val="000000" w:themeColor="text1"/>
          <w:lang w:val="es-419"/>
        </w:rPr>
      </w:pPr>
      <w:r>
        <w:rPr>
          <w:lang w:val="es-ES"/>
        </w:rPr>
        <w:t xml:space="preserve">Se espera que los centros candidatos comiencen a funcionar a pleno como </w:t>
      </w:r>
      <w:r w:rsidR="00A95DEF">
        <w:rPr>
          <w:lang w:val="es-ES"/>
        </w:rPr>
        <w:t>CMRE</w:t>
      </w:r>
      <w:r>
        <w:rPr>
          <w:lang w:val="es-ES"/>
        </w:rPr>
        <w:t xml:space="preserve"> inmediatamente después de su designación. Por lo tanto, es necesario asegurarse de que el candidato cumple los requisitos técnicos de un </w:t>
      </w:r>
      <w:r w:rsidR="00A95DEF">
        <w:rPr>
          <w:lang w:val="es-ES"/>
        </w:rPr>
        <w:t>CMRE</w:t>
      </w:r>
      <w:r>
        <w:rPr>
          <w:lang w:val="es-ES"/>
        </w:rPr>
        <w:t xml:space="preserve"> antes </w:t>
      </w:r>
      <w:r w:rsidR="001772AB">
        <w:rPr>
          <w:lang w:val="es-ES"/>
        </w:rPr>
        <w:t xml:space="preserve">de </w:t>
      </w:r>
      <w:r>
        <w:rPr>
          <w:lang w:val="es-ES"/>
        </w:rPr>
        <w:t xml:space="preserve">designarlo. Dado que el proceso de designación no puede continuar a menos que el candidato haya superado la evaluación técnica, se recomienda encarecidamente que el candidato se someta a una evaluación técnica antes de postularse oficialmente como </w:t>
      </w:r>
      <w:r w:rsidR="00A95DEF">
        <w:rPr>
          <w:lang w:val="es-ES"/>
        </w:rPr>
        <w:t>CMRE</w:t>
      </w:r>
      <w:r>
        <w:rPr>
          <w:lang w:val="es-ES"/>
        </w:rPr>
        <w:t>.</w:t>
      </w:r>
    </w:p>
    <w:p w14:paraId="1C129047" w14:textId="46EFC79C" w:rsidR="003E5D1B" w:rsidRPr="008357EA" w:rsidRDefault="00E26782">
      <w:pPr>
        <w:spacing w:after="240" w:line="240" w:lineRule="exact"/>
        <w:rPr>
          <w:rFonts w:eastAsiaTheme="minorEastAsia" w:cstheme="majorBidi"/>
          <w:color w:val="000000" w:themeColor="text1"/>
          <w:lang w:val="es-419"/>
        </w:rPr>
      </w:pPr>
      <w:r>
        <w:rPr>
          <w:lang w:val="es-ES"/>
        </w:rPr>
        <w:t xml:space="preserve">Para someterse a un examen técnico tras llevar a cabo la preparación técnica y la demostración, el centro candidato deberá preparar un documento técnico en que se confirme que cumple los </w:t>
      </w:r>
      <w:r>
        <w:rPr>
          <w:lang w:val="es-ES"/>
        </w:rPr>
        <w:lastRenderedPageBreak/>
        <w:t xml:space="preserve">requisitos generales y técnicos relativos a cada actividad del </w:t>
      </w:r>
      <w:r w:rsidR="00A95DEF">
        <w:rPr>
          <w:lang w:val="es-ES"/>
        </w:rPr>
        <w:t>CMRE</w:t>
      </w:r>
      <w:r>
        <w:rPr>
          <w:lang w:val="es-ES"/>
        </w:rPr>
        <w:t>. El examen técnico se realizará de acuerdo con los procedimientos de examen del cumplimiento de los centros que se describen en la sección 3.4 de la Guía, por lo que el documento técnico deberá elaborarse teniendo en cuenta el contenido que se describe en esa sección.</w:t>
      </w:r>
    </w:p>
    <w:p w14:paraId="0F35BF19" w14:textId="5C4AA0F8" w:rsidR="003E5D1B" w:rsidRPr="008357EA" w:rsidRDefault="00E26782">
      <w:pPr>
        <w:spacing w:after="240" w:line="240" w:lineRule="exact"/>
        <w:rPr>
          <w:rFonts w:eastAsiaTheme="minorEastAsia" w:cstheme="majorBidi"/>
          <w:color w:val="000000" w:themeColor="text1"/>
          <w:lang w:val="es-419"/>
        </w:rPr>
      </w:pPr>
      <w:r>
        <w:rPr>
          <w:lang w:val="es-ES"/>
        </w:rPr>
        <w:t xml:space="preserve">El centro candidato enviará esa documentación técnica al Secretario General de la OMM con una solicitud de examen técnico. Como se indica en la sección 1.2.6.3 del </w:t>
      </w:r>
      <w:r w:rsidR="002D6434" w:rsidRPr="002D6434">
        <w:rPr>
          <w:i/>
          <w:iCs/>
          <w:lang w:val="es-ES"/>
        </w:rPr>
        <w:t>Manual del Sistema Mundial de Proceso de Datos y de Predicción</w:t>
      </w:r>
      <w:r w:rsidR="008357EA">
        <w:rPr>
          <w:lang w:val="es-ES"/>
        </w:rPr>
        <w:t xml:space="preserve"> (</w:t>
      </w:r>
      <w:r w:rsidR="00EB4587">
        <w:rPr>
          <w:lang w:val="es-ES"/>
        </w:rPr>
        <w:t>OMM</w:t>
      </w:r>
      <w:r w:rsidR="00EB4587">
        <w:rPr>
          <w:lang w:val="es-ES"/>
        </w:rPr>
        <w:noBreakHyphen/>
        <w:t>Nº</w:t>
      </w:r>
      <w:r w:rsidR="0093047C">
        <w:rPr>
          <w:lang w:val="es-ES"/>
        </w:rPr>
        <w:t> </w:t>
      </w:r>
      <w:r w:rsidR="008357EA">
        <w:rPr>
          <w:lang w:val="es-ES"/>
        </w:rPr>
        <w:t>485)</w:t>
      </w:r>
      <w:r>
        <w:rPr>
          <w:lang w:val="es-ES"/>
        </w:rPr>
        <w:t>, las solicitudes serán presentadas por el Representante Permanente del Miembro o de la organización asociada de la OMM o, en el caso de las organizaciones internacionales, por el Representante Permanente del país donde el centro candidato está ubicado</w:t>
      </w:r>
      <w:r w:rsidR="00303D54">
        <w:rPr>
          <w:lang w:val="es-ES"/>
        </w:rPr>
        <w:t>,</w:t>
      </w:r>
      <w:r>
        <w:rPr>
          <w:lang w:val="es-ES"/>
        </w:rPr>
        <w:t xml:space="preserve"> o por el presidente de la asociación o las asociaciones regionales pertinentes. Como se indica en la sección 1.2.6.4 del </w:t>
      </w:r>
      <w:r w:rsidR="002D6434" w:rsidRPr="002D6434">
        <w:rPr>
          <w:i/>
          <w:iCs/>
          <w:lang w:val="es-ES"/>
        </w:rPr>
        <w:t>Manual del Sistema Mundial de Proceso de Datos y de Predicción</w:t>
      </w:r>
      <w:r w:rsidR="008357EA">
        <w:rPr>
          <w:lang w:val="es-ES"/>
        </w:rPr>
        <w:t xml:space="preserve"> (</w:t>
      </w:r>
      <w:r w:rsidR="00EB4587">
        <w:rPr>
          <w:lang w:val="es-ES"/>
        </w:rPr>
        <w:t>OMM</w:t>
      </w:r>
      <w:r w:rsidR="00EB4587">
        <w:rPr>
          <w:lang w:val="es-ES"/>
        </w:rPr>
        <w:noBreakHyphen/>
        <w:t>Nº</w:t>
      </w:r>
      <w:r w:rsidR="0093047C">
        <w:rPr>
          <w:lang w:val="es-ES"/>
        </w:rPr>
        <w:t> </w:t>
      </w:r>
      <w:r w:rsidR="008357EA">
        <w:rPr>
          <w:lang w:val="es-ES"/>
        </w:rPr>
        <w:t>485)</w:t>
      </w:r>
      <w:r>
        <w:rPr>
          <w:lang w:val="es-ES"/>
        </w:rPr>
        <w:t xml:space="preserve">, el presidente de la asociación regional pertinente </w:t>
      </w:r>
      <w:r w:rsidR="00303D54">
        <w:rPr>
          <w:lang w:val="es-ES"/>
        </w:rPr>
        <w:t>será quien presente</w:t>
      </w:r>
      <w:r>
        <w:rPr>
          <w:lang w:val="es-ES"/>
        </w:rPr>
        <w:t xml:space="preserve"> la solicitud de designación</w:t>
      </w:r>
      <w:r w:rsidR="00303D54" w:rsidRPr="00303D54">
        <w:rPr>
          <w:lang w:val="es-ES"/>
        </w:rPr>
        <w:t xml:space="preserve"> </w:t>
      </w:r>
      <w:r w:rsidR="00303D54">
        <w:rPr>
          <w:lang w:val="es-ES"/>
        </w:rPr>
        <w:t>cuando se trate de una red de CMRE</w:t>
      </w:r>
      <w:r>
        <w:rPr>
          <w:lang w:val="es-ES"/>
        </w:rPr>
        <w:t>; en el caso de redes establecidas entre dos o más asociaciones regionales, la solicitud será presentada de forma conjunta por los presidentes de las asociaciones regionales correspondientes. En la solicitud se deberá incluir información sobre los coordinadores designados para el examen técnico. La Secretaría de la OMM pedirá al órgano responsable del examen del cumplimiento (véase lo que se indica más adelante) que lleve a cabo un examen técnico del centro candidato para comprobar que cumple los requisitos técnicos. En caso de que estos no se cumplan, los resultados del examen se comunicarán al centro candidato, con recomendaciones sobre cómo mejorar.</w:t>
      </w:r>
    </w:p>
    <w:p w14:paraId="1BF0EA9D" w14:textId="4CF9CDCD" w:rsidR="003E5D1B" w:rsidRPr="008357EA" w:rsidRDefault="00E26782">
      <w:pPr>
        <w:keepNext/>
        <w:spacing w:before="240" w:after="240" w:line="240" w:lineRule="exact"/>
        <w:ind w:left="1123" w:hanging="1123"/>
        <w:jc w:val="left"/>
        <w:outlineLvl w:val="4"/>
        <w:rPr>
          <w:b/>
          <w:bCs/>
          <w:color w:val="000000" w:themeColor="text1"/>
          <w:lang w:val="es-419"/>
        </w:rPr>
      </w:pPr>
      <w:bookmarkStart w:id="227" w:name="_Toc113003349"/>
      <w:bookmarkStart w:id="228" w:name="_Toc113024473"/>
      <w:bookmarkStart w:id="229" w:name="_Toc117502004"/>
      <w:r>
        <w:rPr>
          <w:b/>
          <w:bCs/>
          <w:lang w:val="es-ES"/>
        </w:rPr>
        <w:t>3.3.2</w:t>
      </w:r>
      <w:r>
        <w:rPr>
          <w:lang w:val="es-ES"/>
        </w:rPr>
        <w:t xml:space="preserve"> </w:t>
      </w:r>
      <w:r>
        <w:rPr>
          <w:b/>
          <w:bCs/>
          <w:lang w:val="es-ES"/>
        </w:rPr>
        <w:t>Designación</w:t>
      </w:r>
      <w:bookmarkEnd w:id="227"/>
      <w:bookmarkEnd w:id="228"/>
      <w:bookmarkEnd w:id="229"/>
    </w:p>
    <w:p w14:paraId="04655C49" w14:textId="21F8E8F2" w:rsidR="003E5D1B" w:rsidRPr="008357EA" w:rsidRDefault="00E26782">
      <w:pPr>
        <w:spacing w:after="240" w:line="240" w:lineRule="exact"/>
        <w:rPr>
          <w:rFonts w:eastAsiaTheme="minorEastAsia" w:cstheme="majorBidi"/>
          <w:color w:val="000000" w:themeColor="text1"/>
          <w:lang w:val="es-419"/>
        </w:rPr>
      </w:pPr>
      <w:r>
        <w:rPr>
          <w:lang w:val="es-ES"/>
        </w:rPr>
        <w:t xml:space="preserve">Los requisitos propios de cada actividad del </w:t>
      </w:r>
      <w:r w:rsidR="00A95DEF">
        <w:rPr>
          <w:lang w:val="es-ES"/>
        </w:rPr>
        <w:t>CMRE</w:t>
      </w:r>
      <w:r>
        <w:rPr>
          <w:lang w:val="es-ES"/>
        </w:rPr>
        <w:t xml:space="preserve"> se presentan en la sección 2.2 del </w:t>
      </w:r>
      <w:r w:rsidR="002D6434" w:rsidRPr="002D6434">
        <w:rPr>
          <w:i/>
          <w:iCs/>
          <w:lang w:val="es-ES"/>
        </w:rPr>
        <w:t>Manual del Sistema Mundial de Proceso de Datos y de Predicción</w:t>
      </w:r>
      <w:r w:rsidR="008357EA">
        <w:rPr>
          <w:lang w:val="es-ES"/>
        </w:rPr>
        <w:t xml:space="preserve"> (</w:t>
      </w:r>
      <w:r w:rsidR="00EB4587">
        <w:rPr>
          <w:lang w:val="es-ES"/>
        </w:rPr>
        <w:t>OMM</w:t>
      </w:r>
      <w:r w:rsidR="00EB4587">
        <w:rPr>
          <w:lang w:val="es-ES"/>
        </w:rPr>
        <w:noBreakHyphen/>
        <w:t>Nº</w:t>
      </w:r>
      <w:r w:rsidR="0093047C">
        <w:rPr>
          <w:lang w:val="es-ES"/>
        </w:rPr>
        <w:t> </w:t>
      </w:r>
      <w:r w:rsidR="00E41385">
        <w:rPr>
          <w:lang w:val="es-ES"/>
        </w:rPr>
        <w:t>485),</w:t>
      </w:r>
      <w:r>
        <w:rPr>
          <w:lang w:val="es-ES"/>
        </w:rPr>
        <w:t xml:space="preserve"> donde figura un cuadro en que se indican los órganos encargados de recomendar cambios en la especificación de las actividades, así como los responsables de la designación de los centros y del cumplimiento, excepto en el caso de la actividad relativa a los servicios de vigilancia volcánica para la navegación aérea internacional. En cuanto a la designación de los centros, el órgano responsable de la designación efectiva es el Congreso Meteorológico Mundial o el Consejo Ejecutivo de la OMM. Hay actividades cuyas responsabilidades recaen en dos o más órganos, por lo que todos ellos son responsables de formular recomendaciones al Congreso o al Consejo Ejecutivo. En ese cuadro no se indica de forma específica el orden en que se obtienen las recomendaciones de los órganos, pero a continuación se analiza el orden general.</w:t>
      </w:r>
    </w:p>
    <w:p w14:paraId="3F92086E" w14:textId="77777777" w:rsidR="003E5D1B" w:rsidRPr="008357EA" w:rsidRDefault="00E26782">
      <w:pPr>
        <w:spacing w:after="240" w:line="240" w:lineRule="exact"/>
        <w:rPr>
          <w:rFonts w:eastAsiaTheme="minorEastAsia" w:cstheme="majorBidi"/>
          <w:color w:val="000000" w:themeColor="text1"/>
          <w:lang w:val="es-419"/>
        </w:rPr>
      </w:pPr>
      <w:r>
        <w:rPr>
          <w:lang w:val="es-ES"/>
        </w:rPr>
        <w:t xml:space="preserve">La declaración de candidatura que se describe en el punto 3) anterior se comunicará al Secretario General de la OMM mediante una carta oficial. Se recomienda encarecidamente enviar un correo electrónico a wmo@wmo.int con copia a dpfsmail@wmo.int. La carta oficial irá acompañada de un documento complementario (es decir, el documento técnico mencionado anteriormente) en el que se indique que el centro candidato cumple los requisitos técnicos y de recursos necesarios para su designación. </w:t>
      </w:r>
    </w:p>
    <w:p w14:paraId="605A285E" w14:textId="77777777" w:rsidR="003E5D1B" w:rsidRPr="008357EA" w:rsidRDefault="00E26782">
      <w:pPr>
        <w:spacing w:before="240" w:after="240"/>
        <w:rPr>
          <w:rFonts w:eastAsiaTheme="minorEastAsia" w:cstheme="majorBidi"/>
          <w:color w:val="000000" w:themeColor="text1"/>
          <w:lang w:val="es-419"/>
        </w:rPr>
      </w:pPr>
      <w:r>
        <w:rPr>
          <w:lang w:val="es-ES"/>
        </w:rPr>
        <w:t xml:space="preserve">Tras confirmar que el candidato supera el examen técnico, se obtendrán las recomendaciones de los órganos que figuran en el cuadro. Esos órganos pueden ser las asociaciones regionales (o los órganos regionales alternativos), la Comisión de Observaciones, Infraestructura y Sistemas de Información (Comisión de Infraestructura) y otros órganos pertinentes. </w:t>
      </w:r>
    </w:p>
    <w:p w14:paraId="7DCB9821" w14:textId="49466A88" w:rsidR="003E5D1B" w:rsidRPr="008357EA" w:rsidRDefault="00E26782">
      <w:pPr>
        <w:spacing w:before="240" w:after="240"/>
        <w:rPr>
          <w:rFonts w:eastAsiaTheme="minorEastAsia" w:cstheme="majorBidi"/>
          <w:color w:val="000000" w:themeColor="text1"/>
          <w:lang w:val="es-419"/>
        </w:rPr>
      </w:pPr>
      <w:r>
        <w:rPr>
          <w:lang w:val="es-ES"/>
        </w:rPr>
        <w:t>1) Asociaciones regionales (</w:t>
      </w:r>
      <w:r w:rsidR="00E3250D">
        <w:rPr>
          <w:lang w:val="es-ES"/>
        </w:rPr>
        <w:t>u</w:t>
      </w:r>
      <w:r>
        <w:rPr>
          <w:lang w:val="es-ES"/>
        </w:rPr>
        <w:t xml:space="preserve"> órganos regionales alternativos) </w:t>
      </w:r>
    </w:p>
    <w:p w14:paraId="06981F1B" w14:textId="77777777" w:rsidR="003E5D1B" w:rsidRPr="008357EA" w:rsidRDefault="00E26782">
      <w:pPr>
        <w:spacing w:before="240" w:after="240"/>
        <w:rPr>
          <w:rFonts w:eastAsiaTheme="minorEastAsia" w:cstheme="majorBidi"/>
          <w:color w:val="000000" w:themeColor="text1"/>
          <w:lang w:val="es-419"/>
        </w:rPr>
      </w:pPr>
      <w:r>
        <w:rPr>
          <w:lang w:val="es-ES"/>
        </w:rPr>
        <w:t xml:space="preserve">Si en el cuadro se menciona a una asociación regional (o a un órgano regional alternativo), se obtendrá esa recomendación en primer lugar. Con ello se pretende garantizar que la designación de un nuevo centro se base en las necesidades de los Miembros de la región en cuestión. La recomendación se comunicará al Secretario General de la OMM mediante una carta oficial del presidente de la asociación regional (o del órgano regional alternativo). </w:t>
      </w:r>
    </w:p>
    <w:p w14:paraId="14EDFEB1" w14:textId="77777777" w:rsidR="003E5D1B" w:rsidRPr="008357EA" w:rsidRDefault="00E26782">
      <w:pPr>
        <w:spacing w:before="240" w:after="240"/>
        <w:rPr>
          <w:rFonts w:eastAsiaTheme="minorEastAsia" w:cstheme="majorBidi"/>
          <w:color w:val="000000" w:themeColor="text1"/>
          <w:lang w:val="es-419"/>
        </w:rPr>
      </w:pPr>
      <w:r>
        <w:rPr>
          <w:lang w:val="es-ES"/>
        </w:rPr>
        <w:t xml:space="preserve">Se solicita a las asociaciones regionales (o a los órganos regionales equivalentes) que se cercioren de que los nuevos productos y servicios ofrecidos por el centro candidato satisfacen </w:t>
      </w:r>
      <w:r>
        <w:rPr>
          <w:lang w:val="es-ES"/>
        </w:rPr>
        <w:lastRenderedPageBreak/>
        <w:t>las necesidades de la región, teniendo en cuenta los resultados de la encuesta sobre las necesidades de los usuarios y del examen técnico.</w:t>
      </w:r>
    </w:p>
    <w:p w14:paraId="09508267" w14:textId="77777777" w:rsidR="003E5D1B" w:rsidRPr="008357EA" w:rsidRDefault="00E26782">
      <w:pPr>
        <w:spacing w:before="240" w:after="240"/>
        <w:rPr>
          <w:rFonts w:eastAsiaTheme="minorEastAsia" w:cstheme="majorBidi"/>
          <w:color w:val="000000" w:themeColor="text1"/>
          <w:lang w:val="es-419"/>
        </w:rPr>
      </w:pPr>
      <w:r>
        <w:rPr>
          <w:lang w:val="es-ES"/>
        </w:rPr>
        <w:t>No se tomará ninguna otra medida hasta que se haya recibido la recomendación de las asociaciones regionales (o de los órganos regionales equivalentes).</w:t>
      </w:r>
    </w:p>
    <w:p w14:paraId="70A76270" w14:textId="77777777" w:rsidR="003E5D1B" w:rsidRPr="008357EA" w:rsidRDefault="00E26782">
      <w:pPr>
        <w:spacing w:before="240" w:after="240"/>
        <w:rPr>
          <w:rFonts w:cstheme="majorBidi"/>
          <w:color w:val="000000" w:themeColor="text1"/>
          <w:lang w:val="es-419"/>
        </w:rPr>
      </w:pPr>
      <w:r>
        <w:rPr>
          <w:lang w:val="es-ES"/>
        </w:rPr>
        <w:t>2) Otros órganos pertinentes</w:t>
      </w:r>
    </w:p>
    <w:p w14:paraId="6078454B" w14:textId="77777777" w:rsidR="003E5D1B" w:rsidRPr="008357EA" w:rsidRDefault="00E26782">
      <w:pPr>
        <w:spacing w:before="240" w:after="240"/>
        <w:rPr>
          <w:rFonts w:eastAsiaTheme="minorEastAsia" w:cstheme="majorBidi"/>
          <w:color w:val="000000" w:themeColor="text1"/>
          <w:lang w:val="es-419"/>
        </w:rPr>
      </w:pPr>
      <w:r>
        <w:rPr>
          <w:lang w:val="es-ES"/>
        </w:rPr>
        <w:t>Las recomendaciones de la Junta de Investigación sobre el Tiempo, el Clima, el Agua y el Medioambiente y de la Comisión de Aplicaciones y Servicios Meteorológicos, Climáticos, Hidrológicos y Medioambientales Conexos (Comisión de Servicios) se necesitan en el caso de actividades concretas que están muy relacionadas con esos órganos. Si se necesitan varias recomendaciones, estas se pueden obtener en cualquier orden. No obstante, cada recomendación se aprueba con la condición de que se obtengan las de los demás órganos.</w:t>
      </w:r>
    </w:p>
    <w:p w14:paraId="01072996" w14:textId="68116AA4" w:rsidR="003E5D1B" w:rsidRPr="008357EA" w:rsidRDefault="00E26782">
      <w:pPr>
        <w:spacing w:before="240" w:after="240"/>
        <w:rPr>
          <w:rFonts w:eastAsiaTheme="minorEastAsia" w:cstheme="majorBidi"/>
          <w:color w:val="000000" w:themeColor="text1"/>
          <w:lang w:val="es-419"/>
        </w:rPr>
      </w:pPr>
      <w:r>
        <w:rPr>
          <w:lang w:val="es-ES"/>
        </w:rPr>
        <w:t xml:space="preserve">También se pide a otros órganos, como la Comisión de Infraestructura, que examinen y aprueben los resultados del examen técnico y se cercioren de que un nuevo </w:t>
      </w:r>
      <w:r w:rsidR="00A95DEF">
        <w:rPr>
          <w:lang w:val="es-ES"/>
        </w:rPr>
        <w:t>CMRE</w:t>
      </w:r>
      <w:r>
        <w:rPr>
          <w:lang w:val="es-ES"/>
        </w:rPr>
        <w:t xml:space="preserve"> contribuiría a </w:t>
      </w:r>
      <w:r w:rsidR="00A778B4">
        <w:rPr>
          <w:lang w:val="es-ES"/>
        </w:rPr>
        <w:t>optimizar</w:t>
      </w:r>
      <w:r>
        <w:rPr>
          <w:lang w:val="es-ES"/>
        </w:rPr>
        <w:t xml:space="preserve"> el conjunto de esos centros, sin duplicación de otros </w:t>
      </w:r>
      <w:r w:rsidR="00A95DEF">
        <w:rPr>
          <w:lang w:val="es-ES"/>
        </w:rPr>
        <w:t>CMRE</w:t>
      </w:r>
      <w:r>
        <w:rPr>
          <w:lang w:val="es-ES"/>
        </w:rPr>
        <w:t xml:space="preserve"> que se ocupen del mismo tipo de actividad. Esto se debe hacer antes de recomendar que el Congreso o el Consejo Ejecutivo decida la designación formal.</w:t>
      </w:r>
    </w:p>
    <w:p w14:paraId="0AD32315" w14:textId="77777777" w:rsidR="003E5D1B" w:rsidRPr="008357EA" w:rsidRDefault="00E26782">
      <w:pPr>
        <w:spacing w:before="240" w:after="240"/>
        <w:rPr>
          <w:color w:val="000000"/>
          <w:shd w:val="clear" w:color="auto" w:fill="FFFFFF"/>
          <w:lang w:val="es-419"/>
        </w:rPr>
      </w:pPr>
      <w:r>
        <w:rPr>
          <w:lang w:val="es-ES"/>
        </w:rPr>
        <w:t>3) Comisión de Observaciones, Infraestructura y Sistemas de Información (Comisión de Infraestructura)</w:t>
      </w:r>
    </w:p>
    <w:p w14:paraId="60F589F6" w14:textId="70C793DB" w:rsidR="003E5D1B" w:rsidRPr="008357EA" w:rsidRDefault="00E26782">
      <w:pPr>
        <w:spacing w:before="240" w:after="240"/>
        <w:rPr>
          <w:rFonts w:eastAsiaTheme="minorEastAsia" w:cstheme="majorBidi"/>
          <w:color w:val="000000" w:themeColor="text1"/>
          <w:lang w:val="es-419"/>
        </w:rPr>
      </w:pPr>
      <w:r>
        <w:rPr>
          <w:lang w:val="es-ES"/>
        </w:rPr>
        <w:t xml:space="preserve">Las recomendaciones que la Comisión de Infraestructura hace respecto de la designación de centros se relacionan esencialmente con las modificaciones del </w:t>
      </w:r>
      <w:r w:rsidR="002D6434" w:rsidRPr="002D6434">
        <w:rPr>
          <w:i/>
          <w:iCs/>
          <w:lang w:val="es-ES"/>
        </w:rPr>
        <w:t>Manual del Sistema Mundial de Proceso de Datos y de Predicción</w:t>
      </w:r>
      <w:r w:rsidR="008357EA">
        <w:rPr>
          <w:lang w:val="es-ES"/>
        </w:rPr>
        <w:t xml:space="preserve"> (</w:t>
      </w:r>
      <w:r w:rsidR="00EB4587">
        <w:rPr>
          <w:lang w:val="es-ES"/>
        </w:rPr>
        <w:t>OMM</w:t>
      </w:r>
      <w:r w:rsidR="00EB4587">
        <w:rPr>
          <w:lang w:val="es-ES"/>
        </w:rPr>
        <w:noBreakHyphen/>
        <w:t>Nº</w:t>
      </w:r>
      <w:r w:rsidR="0093047C">
        <w:rPr>
          <w:lang w:val="es-ES"/>
        </w:rPr>
        <w:t> </w:t>
      </w:r>
      <w:r w:rsidR="008357EA">
        <w:rPr>
          <w:lang w:val="es-ES"/>
        </w:rPr>
        <w:t>485)</w:t>
      </w:r>
      <w:r w:rsidR="0038717F">
        <w:rPr>
          <w:lang w:val="es-ES"/>
        </w:rPr>
        <w:t xml:space="preserve">. </w:t>
      </w:r>
      <w:r>
        <w:rPr>
          <w:lang w:val="es-ES"/>
        </w:rPr>
        <w:t xml:space="preserve">Por ese motivo, la recomendación debe ser aprobada en una reunión de esa Comisión. En los casos en que se necesita la recomendación de más de un órgano, la de la Comisión de Infraestructura se </w:t>
      </w:r>
      <w:r w:rsidR="00F92556">
        <w:rPr>
          <w:lang w:val="es-ES"/>
        </w:rPr>
        <w:t>obtiene</w:t>
      </w:r>
      <w:r>
        <w:rPr>
          <w:lang w:val="es-ES"/>
        </w:rPr>
        <w:t xml:space="preserve"> en último lugar. Sin embargo, debido al calendario de las reuniones, podría ser necesario obtener la aprobación del presidente de las comisiones técnicas o del presidente de la Junta de Investigación sobre el Tiempo, el Clima, el Agua y el Medioambiente en nombre de su órgano.</w:t>
      </w:r>
    </w:p>
    <w:p w14:paraId="46BA8396" w14:textId="1C1940CB" w:rsidR="003E5D1B" w:rsidRPr="008357EA" w:rsidRDefault="00E26782">
      <w:pPr>
        <w:spacing w:before="240" w:after="240"/>
        <w:rPr>
          <w:rFonts w:eastAsiaTheme="minorEastAsia" w:cstheme="majorBidi"/>
          <w:color w:val="000000" w:themeColor="text1"/>
          <w:lang w:val="es-419"/>
        </w:rPr>
      </w:pPr>
      <w:r>
        <w:rPr>
          <w:lang w:val="es-ES"/>
        </w:rPr>
        <w:t xml:space="preserve">Antes de recomendar que el Congreso o el Consejo Ejecutivo decida la designación formal, la Comisión de Infraestructura examinará y aprobará los resultados del examen técnico y se asegurará de que el nuevo </w:t>
      </w:r>
      <w:r w:rsidR="00A95DEF">
        <w:rPr>
          <w:lang w:val="es-ES"/>
        </w:rPr>
        <w:t>CMRE</w:t>
      </w:r>
      <w:r>
        <w:rPr>
          <w:lang w:val="es-ES"/>
        </w:rPr>
        <w:t xml:space="preserve"> contribuya a </w:t>
      </w:r>
      <w:r w:rsidR="002E0EA1">
        <w:rPr>
          <w:lang w:val="es-ES"/>
        </w:rPr>
        <w:t>optimizar</w:t>
      </w:r>
      <w:r>
        <w:rPr>
          <w:lang w:val="es-ES"/>
        </w:rPr>
        <w:t xml:space="preserve"> el conjunto de esos centros, sin duplicación de otros </w:t>
      </w:r>
      <w:r w:rsidR="00A95DEF">
        <w:rPr>
          <w:lang w:val="es-ES"/>
        </w:rPr>
        <w:t>CMRE</w:t>
      </w:r>
      <w:r>
        <w:rPr>
          <w:lang w:val="es-ES"/>
        </w:rPr>
        <w:t xml:space="preserve"> que se ocupen del mismo tipo de actividad.</w:t>
      </w:r>
    </w:p>
    <w:p w14:paraId="7C56F225" w14:textId="291383EC" w:rsidR="003E5D1B" w:rsidRPr="008357EA" w:rsidRDefault="00E26782">
      <w:pPr>
        <w:spacing w:before="240" w:after="240"/>
        <w:rPr>
          <w:rFonts w:eastAsiaTheme="minorEastAsia" w:cstheme="majorBidi"/>
          <w:color w:val="000000" w:themeColor="text1"/>
          <w:lang w:val="es-419"/>
        </w:rPr>
      </w:pPr>
      <w:r>
        <w:rPr>
          <w:lang w:val="es-ES"/>
        </w:rPr>
        <w:t xml:space="preserve">Una vez recibidas las recomendaciones de todos los órganos, se pedirá al Congreso o al Consejo Ejecutivo que decida sobre la designación del </w:t>
      </w:r>
      <w:r w:rsidR="00A95DEF">
        <w:rPr>
          <w:lang w:val="es-ES"/>
        </w:rPr>
        <w:t>CMRE</w:t>
      </w:r>
      <w:r>
        <w:rPr>
          <w:lang w:val="es-ES"/>
        </w:rPr>
        <w:t xml:space="preserve">. Luego de que el Congreso o el Consejo Ejecutivo apruebe la designación del </w:t>
      </w:r>
      <w:r w:rsidR="00A95DEF">
        <w:rPr>
          <w:lang w:val="es-ES"/>
        </w:rPr>
        <w:t>CMRE</w:t>
      </w:r>
      <w:r>
        <w:rPr>
          <w:lang w:val="es-ES"/>
        </w:rPr>
        <w:t xml:space="preserve">, el centro candidato comenzará sus actividades como </w:t>
      </w:r>
      <w:r w:rsidR="00A95DEF">
        <w:rPr>
          <w:lang w:val="es-ES"/>
        </w:rPr>
        <w:t>CMRE</w:t>
      </w:r>
      <w:r>
        <w:rPr>
          <w:lang w:val="es-ES"/>
        </w:rPr>
        <w:t xml:space="preserve"> de inmediato. Si es necesario coordinar, por ejemplo, la transferencia de datos a un Centro Principal, eso se llevará a cabo con prontitud luego de aprobada la designación del centro bajo la coordinación de la Secretaría de la OMM.</w:t>
      </w:r>
    </w:p>
    <w:p w14:paraId="2E9481C9" w14:textId="052E5BA6" w:rsidR="003E5D1B" w:rsidRPr="008357EA" w:rsidRDefault="00E26782">
      <w:pPr>
        <w:spacing w:before="240" w:after="240"/>
        <w:rPr>
          <w:rFonts w:eastAsiaTheme="minorEastAsia" w:cstheme="majorBidi"/>
          <w:color w:val="000000" w:themeColor="text1"/>
          <w:lang w:val="es-419"/>
        </w:rPr>
      </w:pPr>
      <w:r>
        <w:rPr>
          <w:lang w:val="es-ES"/>
        </w:rPr>
        <w:t xml:space="preserve">Se han elaborado orientaciones detalladas sobre los procedimientos para designar los Centros Regionales sobre el Clima (CRC) y los </w:t>
      </w:r>
      <w:r w:rsidR="002E0EA1">
        <w:rPr>
          <w:lang w:val="es-ES"/>
        </w:rPr>
        <w:t>CMRE</w:t>
      </w:r>
      <w:r>
        <w:rPr>
          <w:lang w:val="es-ES"/>
        </w:rPr>
        <w:t xml:space="preserve"> </w:t>
      </w:r>
      <w:r w:rsidR="002E0EA1">
        <w:rPr>
          <w:lang w:val="es-ES"/>
        </w:rPr>
        <w:t>que se ocupan de</w:t>
      </w:r>
      <w:r>
        <w:rPr>
          <w:lang w:val="es-ES"/>
        </w:rPr>
        <w:t xml:space="preserve"> la predicción de tormentas de arena y polvo atmosféricos.</w:t>
      </w:r>
    </w:p>
    <w:p w14:paraId="1243B7BE" w14:textId="77777777" w:rsidR="003E5D1B" w:rsidRPr="002E0EA1" w:rsidRDefault="00E26782">
      <w:pPr>
        <w:tabs>
          <w:tab w:val="clear" w:pos="1134"/>
        </w:tabs>
        <w:spacing w:after="240" w:line="200" w:lineRule="exact"/>
        <w:ind w:left="360" w:hanging="360"/>
        <w:jc w:val="left"/>
        <w:rPr>
          <w:color w:val="000000" w:themeColor="text1"/>
          <w:sz w:val="16"/>
          <w:szCs w:val="16"/>
          <w:lang w:val="es-419"/>
        </w:rPr>
      </w:pPr>
      <w:r w:rsidRPr="002E0EA1">
        <w:rPr>
          <w:sz w:val="16"/>
          <w:szCs w:val="16"/>
          <w:lang w:val="es-ES"/>
        </w:rPr>
        <w:t xml:space="preserve">Nota: </w:t>
      </w:r>
    </w:p>
    <w:p w14:paraId="4AEC9E95" w14:textId="7475B5EE" w:rsidR="003E5D1B" w:rsidRPr="002E0EA1" w:rsidRDefault="00E26782">
      <w:pPr>
        <w:tabs>
          <w:tab w:val="clear" w:pos="1134"/>
        </w:tabs>
        <w:spacing w:after="240" w:line="200" w:lineRule="exact"/>
        <w:ind w:left="360" w:hanging="360"/>
        <w:rPr>
          <w:color w:val="000000"/>
          <w:sz w:val="16"/>
          <w:szCs w:val="16"/>
          <w:lang w:val="es-419"/>
        </w:rPr>
      </w:pPr>
      <w:r w:rsidRPr="002E0EA1">
        <w:rPr>
          <w:sz w:val="16"/>
          <w:szCs w:val="16"/>
          <w:lang w:val="es-ES"/>
        </w:rPr>
        <w:t xml:space="preserve">1) Los procedimientos para designar los Centros Regionales sobre el Clima (CRC) se describen en OMM, 2011: </w:t>
      </w:r>
      <w:r w:rsidRPr="002E0EA1">
        <w:rPr>
          <w:i/>
          <w:iCs/>
          <w:sz w:val="16"/>
          <w:szCs w:val="16"/>
          <w:lang w:val="es-ES"/>
        </w:rPr>
        <w:t>How to Establish and Run a WMO Regional Climate Centre (</w:t>
      </w:r>
      <w:r w:rsidR="00C63E3C" w:rsidRPr="002E0EA1">
        <w:rPr>
          <w:i/>
          <w:iCs/>
          <w:sz w:val="16"/>
          <w:szCs w:val="16"/>
          <w:lang w:val="es-ES"/>
        </w:rPr>
        <w:t>CRC</w:t>
      </w:r>
      <w:r w:rsidRPr="002E0EA1">
        <w:rPr>
          <w:i/>
          <w:iCs/>
          <w:sz w:val="16"/>
          <w:szCs w:val="16"/>
          <w:lang w:val="es-ES"/>
        </w:rPr>
        <w:t>)</w:t>
      </w:r>
      <w:r w:rsidRPr="002E0EA1">
        <w:rPr>
          <w:sz w:val="16"/>
          <w:szCs w:val="16"/>
          <w:lang w:val="es-ES"/>
        </w:rPr>
        <w:t xml:space="preserve">, </w:t>
      </w:r>
      <w:hyperlink r:id="rId68" w:history="1">
        <w:r w:rsidRPr="006B0E66">
          <w:rPr>
            <w:rStyle w:val="Hyperlink"/>
            <w:sz w:val="16"/>
            <w:szCs w:val="16"/>
            <w:lang w:val="es-ES"/>
          </w:rPr>
          <w:t>WCASP-No.80</w:t>
        </w:r>
      </w:hyperlink>
      <w:r w:rsidRPr="002E0EA1">
        <w:rPr>
          <w:sz w:val="16"/>
          <w:szCs w:val="16"/>
          <w:lang w:val="es-ES"/>
        </w:rPr>
        <w:t xml:space="preserve">, </w:t>
      </w:r>
      <w:hyperlink r:id="rId69" w:history="1">
        <w:r w:rsidRPr="006B0E66">
          <w:rPr>
            <w:rStyle w:val="Hyperlink"/>
            <w:sz w:val="16"/>
            <w:szCs w:val="16"/>
            <w:lang w:val="es-ES"/>
          </w:rPr>
          <w:t>WMO/TD-No. 1534</w:t>
        </w:r>
      </w:hyperlink>
      <w:r w:rsidRPr="002E0EA1">
        <w:rPr>
          <w:sz w:val="16"/>
          <w:szCs w:val="16"/>
          <w:lang w:val="es-ES"/>
        </w:rPr>
        <w:t xml:space="preserve"> (Cómo establecer y dirigir un Centro Regional sobre el Clima).</w:t>
      </w:r>
    </w:p>
    <w:p w14:paraId="728C9A8F" w14:textId="787B0523" w:rsidR="003E5D1B" w:rsidRPr="002E0EA1" w:rsidRDefault="00E26782">
      <w:pPr>
        <w:tabs>
          <w:tab w:val="clear" w:pos="1134"/>
        </w:tabs>
        <w:spacing w:after="240" w:line="200" w:lineRule="exact"/>
        <w:ind w:left="360" w:hanging="360"/>
        <w:jc w:val="left"/>
        <w:rPr>
          <w:rFonts w:cs="Calibri"/>
          <w:color w:val="000000" w:themeColor="text1"/>
          <w:sz w:val="16"/>
          <w:szCs w:val="16"/>
          <w:lang w:val="es-419"/>
        </w:rPr>
      </w:pPr>
      <w:r w:rsidRPr="002E0EA1">
        <w:rPr>
          <w:sz w:val="16"/>
          <w:szCs w:val="16"/>
          <w:lang w:val="es-ES"/>
        </w:rPr>
        <w:t xml:space="preserve">2) Los procedimientos para designar los </w:t>
      </w:r>
      <w:r w:rsidR="006B0E66" w:rsidRPr="006B0E66">
        <w:rPr>
          <w:sz w:val="16"/>
          <w:szCs w:val="16"/>
          <w:lang w:val="es-ES"/>
        </w:rPr>
        <w:t xml:space="preserve">CMRE que se ocupan </w:t>
      </w:r>
      <w:r w:rsidR="006B0E66">
        <w:rPr>
          <w:sz w:val="16"/>
          <w:szCs w:val="16"/>
          <w:lang w:val="es-ES"/>
        </w:rPr>
        <w:t xml:space="preserve">de </w:t>
      </w:r>
      <w:r w:rsidRPr="002E0EA1">
        <w:rPr>
          <w:sz w:val="16"/>
          <w:szCs w:val="16"/>
          <w:lang w:val="es-ES"/>
        </w:rPr>
        <w:t xml:space="preserve">la predicción de tormentas de arena y polvo atmosféricos se describen en el capítulo 7 y el anexo 2 del </w:t>
      </w:r>
      <w:hyperlink r:id="rId70" w:history="1">
        <w:r w:rsidRPr="006B0E66">
          <w:rPr>
            <w:rStyle w:val="Hyperlink"/>
            <w:i/>
            <w:iCs/>
            <w:sz w:val="16"/>
            <w:szCs w:val="16"/>
            <w:lang w:val="es-ES"/>
          </w:rPr>
          <w:t>SDS-WAS Science and Implementation Plan for 2015–2020</w:t>
        </w:r>
      </w:hyperlink>
      <w:r w:rsidRPr="002E0EA1">
        <w:rPr>
          <w:sz w:val="16"/>
          <w:szCs w:val="16"/>
          <w:lang w:val="es-ES"/>
        </w:rPr>
        <w:t xml:space="preserve"> (Plan científico y de ejecución del Sistema de Evaluación y Asesoramiento para Avisos de Tormentas de Polvo y Arena correspondiente a 2015-2020)</w:t>
      </w:r>
      <w:r w:rsidR="0038717F" w:rsidRPr="002E0EA1">
        <w:rPr>
          <w:sz w:val="16"/>
          <w:szCs w:val="16"/>
          <w:lang w:val="es-ES"/>
        </w:rPr>
        <w:t xml:space="preserve">. </w:t>
      </w:r>
    </w:p>
    <w:p w14:paraId="17125763" w14:textId="3B1C9CA4" w:rsidR="003E5D1B" w:rsidRPr="008357EA" w:rsidRDefault="00E26782">
      <w:pPr>
        <w:keepNext/>
        <w:tabs>
          <w:tab w:val="clear" w:pos="1134"/>
        </w:tabs>
        <w:spacing w:before="480" w:after="200" w:line="276" w:lineRule="auto"/>
        <w:ind w:left="1123" w:hanging="1123"/>
        <w:jc w:val="left"/>
        <w:outlineLvl w:val="3"/>
        <w:rPr>
          <w:rFonts w:eastAsia="Calibri" w:cs="Times New Roman"/>
          <w:b/>
          <w:bCs/>
          <w:caps/>
          <w:color w:val="000000" w:themeColor="text1"/>
          <w:lang w:val="es-419"/>
        </w:rPr>
      </w:pPr>
      <w:bookmarkStart w:id="230" w:name="_Toc113003350"/>
      <w:bookmarkStart w:id="231" w:name="_Toc113024474"/>
      <w:bookmarkStart w:id="232" w:name="_Toc117502005"/>
      <w:r>
        <w:rPr>
          <w:b/>
          <w:bCs/>
          <w:lang w:val="es-ES"/>
        </w:rPr>
        <w:lastRenderedPageBreak/>
        <w:t>3.4</w:t>
      </w:r>
      <w:r>
        <w:rPr>
          <w:lang w:val="es-ES"/>
        </w:rPr>
        <w:tab/>
      </w:r>
      <w:r w:rsidR="006B0E66">
        <w:rPr>
          <w:b/>
          <w:bCs/>
          <w:lang w:val="es-ES"/>
        </w:rPr>
        <w:t>PROCEDIMIENTO PARA DESIGNAR UN CENTRO METEOROLÓGICO MUNDIAL</w:t>
      </w:r>
      <w:bookmarkEnd w:id="230"/>
      <w:bookmarkEnd w:id="231"/>
      <w:bookmarkEnd w:id="232"/>
    </w:p>
    <w:p w14:paraId="35AF391F" w14:textId="26F4066A" w:rsidR="003E5D1B" w:rsidRPr="008357EA" w:rsidRDefault="00E26782">
      <w:pPr>
        <w:spacing w:after="240" w:line="240" w:lineRule="exact"/>
        <w:rPr>
          <w:rFonts w:eastAsiaTheme="minorEastAsia" w:cstheme="majorBidi"/>
          <w:b/>
          <w:bCs/>
          <w:color w:val="000000" w:themeColor="text1"/>
          <w:lang w:val="es-419"/>
        </w:rPr>
      </w:pPr>
      <w:r>
        <w:rPr>
          <w:lang w:val="es-ES"/>
        </w:rPr>
        <w:t xml:space="preserve">Los requisitos que se aplican de forma específica a los Centros Meteorológicos Mundiales (CMM) exigen que estos lleven a cabo por lo menos </w:t>
      </w:r>
      <w:r w:rsidR="00366531">
        <w:rPr>
          <w:lang w:val="es-ES"/>
        </w:rPr>
        <w:t>las</w:t>
      </w:r>
      <w:r>
        <w:rPr>
          <w:lang w:val="es-ES"/>
        </w:rPr>
        <w:t xml:space="preserve"> tres actividades</w:t>
      </w:r>
      <w:r w:rsidR="00366531">
        <w:rPr>
          <w:lang w:val="es-ES"/>
        </w:rPr>
        <w:t xml:space="preserve"> siguientes</w:t>
      </w:r>
      <w:r>
        <w:rPr>
          <w:lang w:val="es-ES"/>
        </w:rPr>
        <w:t xml:space="preserve">: a) predicción numérica del tiempo determinística a escala mundial; b) predicción numérica del tiempo por conjuntos a escala mundial, y c) predicción numérica a largo plazo a escala mundial, como se indica en la sección 1.2.4 del </w:t>
      </w:r>
      <w:r w:rsidR="002D6434" w:rsidRPr="002D6434">
        <w:rPr>
          <w:i/>
          <w:iCs/>
          <w:lang w:val="es-ES"/>
        </w:rPr>
        <w:t>Manual del Sistema Mundial de Proceso de Datos y de Predicción</w:t>
      </w:r>
      <w:r w:rsidR="008357EA">
        <w:rPr>
          <w:lang w:val="es-ES"/>
        </w:rPr>
        <w:t xml:space="preserve"> (</w:t>
      </w:r>
      <w:r w:rsidR="00EB4587">
        <w:rPr>
          <w:lang w:val="es-ES"/>
        </w:rPr>
        <w:t>OMM</w:t>
      </w:r>
      <w:r w:rsidR="00EB4587">
        <w:rPr>
          <w:lang w:val="es-ES"/>
        </w:rPr>
        <w:noBreakHyphen/>
        <w:t>Nº</w:t>
      </w:r>
      <w:r w:rsidR="0093047C">
        <w:rPr>
          <w:lang w:val="es-ES"/>
        </w:rPr>
        <w:t> </w:t>
      </w:r>
      <w:r w:rsidR="008357EA">
        <w:rPr>
          <w:lang w:val="es-ES"/>
        </w:rPr>
        <w:t>485).</w:t>
      </w:r>
      <w:r>
        <w:rPr>
          <w:lang w:val="es-ES"/>
        </w:rPr>
        <w:t xml:space="preserve"> Tras la designación como </w:t>
      </w:r>
      <w:r w:rsidR="00A95DEF">
        <w:rPr>
          <w:lang w:val="es-ES"/>
        </w:rPr>
        <w:t>CMRE</w:t>
      </w:r>
      <w:r>
        <w:rPr>
          <w:lang w:val="es-ES"/>
        </w:rPr>
        <w:t xml:space="preserve"> para realizar esas actividades, la candidatura a CMM se presenta a través del Representante Permanente del Miembro que alberga el centro candidato, como se describe en la sección 1.2.6.3 del Manual. La declaración de candidatura deberá comunicarse a la Secretaría de la OMM mediante una carta oficial. También se recomienda encarecidamente enviar un correo electrónico a wmo@wmo.int con copia a dpfsmail@wmo.int. La candidatura de los </w:t>
      </w:r>
      <w:r w:rsidR="00A95DEF">
        <w:rPr>
          <w:lang w:val="es-ES"/>
        </w:rPr>
        <w:t>CMRE</w:t>
      </w:r>
      <w:r>
        <w:rPr>
          <w:lang w:val="es-ES"/>
        </w:rPr>
        <w:t xml:space="preserve"> para las actividades antemencionadas y la del CMM pueden presentarse de forma simultánea.</w:t>
      </w:r>
    </w:p>
    <w:p w14:paraId="1E2F3108" w14:textId="1238F8ED" w:rsidR="003E5D1B" w:rsidRPr="008357EA" w:rsidRDefault="00E26782">
      <w:pPr>
        <w:spacing w:after="240" w:line="240" w:lineRule="exact"/>
        <w:rPr>
          <w:rFonts w:eastAsiaTheme="minorEastAsia" w:cstheme="majorBidi"/>
          <w:color w:val="000000" w:themeColor="text1"/>
          <w:lang w:val="es-419"/>
        </w:rPr>
      </w:pPr>
      <w:r>
        <w:rPr>
          <w:lang w:val="es-ES"/>
        </w:rPr>
        <w:t>El órgano responsable de designar los centros es el Congreso o el Consejo Ejecutivo; el órgano responsable de hacer la recomendación al Congreso o al Consejo Ejecutivo es la Comisión de Observaciones, Infraestructura y Sistemas de Información (INFCOM)</w:t>
      </w:r>
      <w:r w:rsidR="0038717F">
        <w:rPr>
          <w:lang w:val="es-ES"/>
        </w:rPr>
        <w:t xml:space="preserve">. </w:t>
      </w:r>
      <w:r>
        <w:rPr>
          <w:lang w:val="es-ES"/>
        </w:rPr>
        <w:t xml:space="preserve">Una vez que la INFCOM aprueba la recomendación, se pide al Congreso o al Consejo Ejecutivo que decida sobre la designación del CMM. Luego de que el Congreso o el Consejo Ejecutivo aprueba la designación, el centro candidato comienza sus actividades como CMM de inmediato. </w:t>
      </w:r>
    </w:p>
    <w:p w14:paraId="1378C06C" w14:textId="6EA16FF6" w:rsidR="003E5D1B" w:rsidRPr="008357EA" w:rsidRDefault="00E26782">
      <w:pPr>
        <w:keepNext/>
        <w:tabs>
          <w:tab w:val="clear" w:pos="1134"/>
        </w:tabs>
        <w:spacing w:before="480" w:after="200" w:line="276" w:lineRule="auto"/>
        <w:ind w:left="1123" w:hanging="1123"/>
        <w:jc w:val="left"/>
        <w:outlineLvl w:val="3"/>
        <w:rPr>
          <w:rFonts w:eastAsiaTheme="minorHAnsi" w:cstheme="majorBidi"/>
          <w:b/>
          <w:bCs/>
          <w:caps/>
          <w:color w:val="000000" w:themeColor="text1"/>
          <w:lang w:val="es-419"/>
        </w:rPr>
      </w:pPr>
      <w:bookmarkStart w:id="233" w:name="_Toc113003351"/>
      <w:bookmarkStart w:id="234" w:name="_Toc113024475"/>
      <w:bookmarkStart w:id="235" w:name="_Toc117502006"/>
      <w:r>
        <w:rPr>
          <w:b/>
          <w:bCs/>
          <w:lang w:val="es-ES"/>
        </w:rPr>
        <w:t>3.5</w:t>
      </w:r>
      <w:r>
        <w:rPr>
          <w:lang w:val="es-ES"/>
        </w:rPr>
        <w:tab/>
      </w:r>
      <w:r w:rsidR="00C668C8">
        <w:rPr>
          <w:b/>
          <w:bCs/>
          <w:lang w:val="es-ES"/>
        </w:rPr>
        <w:t>EXAMEN DEL CUMPLIMIENTO DE LOS CENTROS DEL GDPFS</w:t>
      </w:r>
      <w:bookmarkEnd w:id="233"/>
      <w:bookmarkEnd w:id="234"/>
      <w:bookmarkEnd w:id="235"/>
    </w:p>
    <w:p w14:paraId="1A7AB1C6" w14:textId="726012E5" w:rsidR="003E5D1B" w:rsidRPr="008357EA" w:rsidRDefault="00C668C8">
      <w:pPr>
        <w:rPr>
          <w:rFonts w:eastAsiaTheme="minorEastAsia" w:cstheme="majorBidi"/>
          <w:color w:val="000000" w:themeColor="text1"/>
          <w:lang w:val="es-419"/>
        </w:rPr>
      </w:pPr>
      <w:r>
        <w:rPr>
          <w:i/>
          <w:iCs/>
          <w:lang w:val="es-ES"/>
        </w:rPr>
        <w:t>La sección 3.5, incluidos los apéndices pertinentes, se copiará del proyecto de recomendación</w:t>
      </w:r>
      <w:r>
        <w:rPr>
          <w:lang w:val="es-ES"/>
        </w:rPr>
        <w:t xml:space="preserve"> </w:t>
      </w:r>
      <w:r>
        <w:rPr>
          <w:i/>
          <w:iCs/>
          <w:lang w:val="es-ES"/>
        </w:rPr>
        <w:t>6.4(3)/1 - proyecto de Recomendación sobre el establecimiento del proceso de examen del cumplimiento, una vez que esta sea adoptada en la segunda reunión de la INFCOM (INFCOM-2).</w:t>
      </w:r>
      <w:r>
        <w:rPr>
          <w:lang w:val="es-ES"/>
        </w:rPr>
        <w:t xml:space="preserve"> </w:t>
      </w:r>
    </w:p>
    <w:p w14:paraId="7002B7CB" w14:textId="77777777" w:rsidR="003E5D1B" w:rsidRPr="008357EA" w:rsidRDefault="00E26782">
      <w:pPr>
        <w:rPr>
          <w:lang w:val="es-419"/>
        </w:rPr>
      </w:pPr>
      <w:r w:rsidRPr="008357EA">
        <w:rPr>
          <w:lang w:val="es-419"/>
        </w:rPr>
        <w:br w:type="page"/>
      </w:r>
    </w:p>
    <w:p w14:paraId="3351CFCC" w14:textId="4556647B" w:rsidR="003E5D1B" w:rsidRPr="008357EA" w:rsidRDefault="00E26782">
      <w:pPr>
        <w:keepNext/>
        <w:tabs>
          <w:tab w:val="clear" w:pos="1134"/>
        </w:tabs>
        <w:spacing w:after="560" w:line="280" w:lineRule="exact"/>
        <w:jc w:val="left"/>
        <w:outlineLvl w:val="2"/>
        <w:rPr>
          <w:b/>
          <w:caps/>
          <w:color w:val="000000" w:themeColor="text1"/>
          <w:sz w:val="24"/>
          <w:szCs w:val="22"/>
          <w:lang w:val="es-419"/>
        </w:rPr>
      </w:pPr>
      <w:bookmarkStart w:id="236" w:name="_Hlk109985951"/>
      <w:bookmarkStart w:id="237" w:name="_Toc113003357"/>
      <w:bookmarkStart w:id="238" w:name="_Toc113024481"/>
      <w:bookmarkStart w:id="239" w:name="_Toc117502007"/>
      <w:r>
        <w:rPr>
          <w:b/>
          <w:bCs/>
          <w:lang w:val="es-ES"/>
        </w:rPr>
        <w:lastRenderedPageBreak/>
        <w:t>APÉNDICE 1.5.2.</w:t>
      </w:r>
      <w:r>
        <w:rPr>
          <w:lang w:val="es-ES"/>
        </w:rPr>
        <w:t xml:space="preserve"> </w:t>
      </w:r>
      <w:r>
        <w:rPr>
          <w:b/>
          <w:bCs/>
          <w:lang w:val="es-ES"/>
        </w:rPr>
        <w:t>COMPETENCIAS DEL PERSONAL</w:t>
      </w:r>
      <w:bookmarkStart w:id="240" w:name="_p_E27AC9BCD67B1A43909272F0A59B54A3"/>
      <w:bookmarkEnd w:id="236"/>
      <w:bookmarkEnd w:id="237"/>
      <w:bookmarkEnd w:id="238"/>
      <w:bookmarkEnd w:id="239"/>
      <w:bookmarkEnd w:id="240"/>
    </w:p>
    <w:p w14:paraId="649D920F" w14:textId="3AE5CFA2" w:rsidR="003E5D1B" w:rsidRPr="00CA1DA5" w:rsidRDefault="00E26782">
      <w:pPr>
        <w:rPr>
          <w:lang w:val="es-419"/>
        </w:rPr>
      </w:pPr>
      <w:r>
        <w:rPr>
          <w:lang w:val="es-ES"/>
        </w:rPr>
        <w:t xml:space="preserve">En el </w:t>
      </w:r>
      <w:r>
        <w:rPr>
          <w:i/>
          <w:iCs/>
          <w:lang w:val="es-ES"/>
        </w:rPr>
        <w:t xml:space="preserve">Compendium of WMO Competency Frameworks </w:t>
      </w:r>
      <w:r>
        <w:rPr>
          <w:lang w:val="es-ES"/>
        </w:rPr>
        <w:t>(</w:t>
      </w:r>
      <w:r w:rsidR="00CA1DA5">
        <w:rPr>
          <w:lang w:val="es-ES"/>
        </w:rPr>
        <w:t>WMO-No. </w:t>
      </w:r>
      <w:r>
        <w:rPr>
          <w:lang w:val="es-ES"/>
        </w:rPr>
        <w:t xml:space="preserve">1209) (Compendio de los marcos de competencias de la OMM) se establece una serie de competencias necesarias que son pertinentes para el funcionamiento de determinados </w:t>
      </w:r>
      <w:r w:rsidR="00A95DEF">
        <w:rPr>
          <w:lang w:val="es-ES"/>
        </w:rPr>
        <w:t>CMRE</w:t>
      </w:r>
      <w:r>
        <w:rPr>
          <w:lang w:val="es-ES"/>
        </w:rPr>
        <w:t>. Esas competencias son las siguientes:</w:t>
      </w:r>
    </w:p>
    <w:p w14:paraId="0BF93832" w14:textId="77777777" w:rsidR="003E5D1B" w:rsidRPr="008357EA" w:rsidRDefault="00E26782">
      <w:pPr>
        <w:numPr>
          <w:ilvl w:val="0"/>
          <w:numId w:val="26"/>
        </w:numPr>
        <w:tabs>
          <w:tab w:val="clear" w:pos="1134"/>
          <w:tab w:val="left" w:pos="960"/>
        </w:tabs>
        <w:spacing w:after="240" w:line="240" w:lineRule="exact"/>
        <w:jc w:val="left"/>
        <w:rPr>
          <w:color w:val="000000" w:themeColor="text1"/>
          <w:szCs w:val="22"/>
          <w:lang w:val="es-419"/>
        </w:rPr>
      </w:pPr>
      <w:r>
        <w:rPr>
          <w:lang w:val="es-ES"/>
        </w:rPr>
        <w:t>Pronosticadores y asesores de los servicios meteorológicos para el público</w:t>
      </w:r>
    </w:p>
    <w:p w14:paraId="72ED9B78" w14:textId="77777777" w:rsidR="003E5D1B" w:rsidRDefault="00E26782">
      <w:pPr>
        <w:numPr>
          <w:ilvl w:val="0"/>
          <w:numId w:val="26"/>
        </w:numPr>
        <w:tabs>
          <w:tab w:val="clear" w:pos="1134"/>
          <w:tab w:val="left" w:pos="960"/>
        </w:tabs>
        <w:spacing w:after="240" w:line="240" w:lineRule="exact"/>
        <w:jc w:val="left"/>
        <w:rPr>
          <w:color w:val="000000" w:themeColor="text1"/>
          <w:szCs w:val="22"/>
        </w:rPr>
      </w:pPr>
      <w:r>
        <w:rPr>
          <w:lang w:val="es-ES"/>
        </w:rPr>
        <w:t>Pronosticadores aeronáuticos</w:t>
      </w:r>
    </w:p>
    <w:p w14:paraId="20724B79" w14:textId="77777777" w:rsidR="003E5D1B" w:rsidRDefault="00E26782">
      <w:pPr>
        <w:numPr>
          <w:ilvl w:val="0"/>
          <w:numId w:val="26"/>
        </w:numPr>
        <w:tabs>
          <w:tab w:val="clear" w:pos="1134"/>
          <w:tab w:val="left" w:pos="960"/>
        </w:tabs>
        <w:spacing w:after="240" w:line="240" w:lineRule="exact"/>
        <w:jc w:val="left"/>
        <w:rPr>
          <w:color w:val="000000" w:themeColor="text1"/>
          <w:szCs w:val="22"/>
        </w:rPr>
      </w:pPr>
      <w:r>
        <w:rPr>
          <w:lang w:val="es-ES"/>
        </w:rPr>
        <w:t>Pronosticadores marinos</w:t>
      </w:r>
    </w:p>
    <w:p w14:paraId="5BC6249E" w14:textId="77777777" w:rsidR="003E5D1B" w:rsidRDefault="00E26782">
      <w:pPr>
        <w:numPr>
          <w:ilvl w:val="0"/>
          <w:numId w:val="26"/>
        </w:numPr>
        <w:tabs>
          <w:tab w:val="clear" w:pos="1134"/>
          <w:tab w:val="left" w:pos="960"/>
        </w:tabs>
        <w:spacing w:after="240" w:line="240" w:lineRule="exact"/>
        <w:jc w:val="left"/>
        <w:rPr>
          <w:color w:val="000000" w:themeColor="text1"/>
          <w:szCs w:val="22"/>
        </w:rPr>
      </w:pPr>
      <w:r>
        <w:rPr>
          <w:lang w:val="es-ES"/>
        </w:rPr>
        <w:t>Prestadores de servicios climáticos</w:t>
      </w:r>
    </w:p>
    <w:p w14:paraId="5B779C0F" w14:textId="77777777" w:rsidR="003E5D1B" w:rsidRPr="008357EA" w:rsidRDefault="00E26782">
      <w:pPr>
        <w:tabs>
          <w:tab w:val="clear" w:pos="1134"/>
        </w:tabs>
        <w:spacing w:beforeAutospacing="1" w:after="200" w:afterAutospacing="1" w:line="276" w:lineRule="auto"/>
        <w:rPr>
          <w:rFonts w:eastAsia="Times New Roman" w:cs="Times New Roman"/>
          <w:lang w:val="es-419"/>
        </w:rPr>
      </w:pPr>
      <w:r>
        <w:rPr>
          <w:lang w:val="es-ES"/>
        </w:rPr>
        <w:t>En lo que respecta el personal que procesa los datos y hace predicciones numéricas, se necesitan otras competencias, a saber:</w:t>
      </w:r>
    </w:p>
    <w:p w14:paraId="16AAE36A" w14:textId="77777777" w:rsidR="003E5D1B" w:rsidRPr="008357EA" w:rsidRDefault="00E26782">
      <w:pPr>
        <w:numPr>
          <w:ilvl w:val="0"/>
          <w:numId w:val="27"/>
        </w:numPr>
        <w:tabs>
          <w:tab w:val="clear" w:pos="1134"/>
        </w:tabs>
        <w:spacing w:after="240" w:line="240" w:lineRule="exact"/>
        <w:ind w:left="1134" w:hanging="567"/>
        <w:jc w:val="left"/>
        <w:rPr>
          <w:color w:val="000000" w:themeColor="text1"/>
          <w:szCs w:val="22"/>
          <w:lang w:val="es-419"/>
        </w:rPr>
      </w:pPr>
      <w:r>
        <w:rPr>
          <w:lang w:val="es-ES"/>
        </w:rPr>
        <w:t>Trabajar con centros de computación de alto rendimiento en un entorno seguro de tecnología de la información y las comunicaciones.</w:t>
      </w:r>
    </w:p>
    <w:p w14:paraId="34E30591" w14:textId="77777777" w:rsidR="003E5D1B" w:rsidRPr="008357EA" w:rsidRDefault="00E26782">
      <w:pPr>
        <w:numPr>
          <w:ilvl w:val="0"/>
          <w:numId w:val="27"/>
        </w:numPr>
        <w:tabs>
          <w:tab w:val="clear" w:pos="1134"/>
        </w:tabs>
        <w:spacing w:after="240" w:line="240" w:lineRule="exact"/>
        <w:ind w:left="1134" w:hanging="567"/>
        <w:jc w:val="left"/>
        <w:rPr>
          <w:color w:val="000000" w:themeColor="text1"/>
          <w:szCs w:val="22"/>
          <w:lang w:val="es-419"/>
        </w:rPr>
      </w:pPr>
      <w:r>
        <w:rPr>
          <w:lang w:val="es-ES"/>
        </w:rPr>
        <w:t>Crear y gestionar conjuntos de datos.</w:t>
      </w:r>
    </w:p>
    <w:p w14:paraId="04595E07" w14:textId="77777777" w:rsidR="003E5D1B" w:rsidRPr="008357EA" w:rsidRDefault="00E26782">
      <w:pPr>
        <w:numPr>
          <w:ilvl w:val="0"/>
          <w:numId w:val="27"/>
        </w:numPr>
        <w:tabs>
          <w:tab w:val="clear" w:pos="1134"/>
        </w:tabs>
        <w:spacing w:after="240" w:line="240" w:lineRule="exact"/>
        <w:ind w:left="1134" w:hanging="567"/>
        <w:jc w:val="left"/>
        <w:rPr>
          <w:color w:val="000000" w:themeColor="text1"/>
          <w:szCs w:val="22"/>
          <w:lang w:val="es-419"/>
        </w:rPr>
      </w:pPr>
      <w:r>
        <w:rPr>
          <w:lang w:val="es-ES"/>
        </w:rPr>
        <w:t>Automatizar el proceso de predicción.</w:t>
      </w:r>
    </w:p>
    <w:p w14:paraId="7378D78E" w14:textId="6858E7B1" w:rsidR="003E5D1B" w:rsidRPr="008357EA" w:rsidRDefault="00E26782">
      <w:pPr>
        <w:numPr>
          <w:ilvl w:val="0"/>
          <w:numId w:val="27"/>
        </w:numPr>
        <w:tabs>
          <w:tab w:val="clear" w:pos="1134"/>
        </w:tabs>
        <w:spacing w:after="240" w:line="240" w:lineRule="exact"/>
        <w:ind w:left="1134" w:hanging="567"/>
        <w:jc w:val="left"/>
        <w:rPr>
          <w:color w:val="000000" w:themeColor="text1"/>
          <w:szCs w:val="22"/>
          <w:lang w:val="es-419"/>
        </w:rPr>
      </w:pPr>
      <w:r>
        <w:rPr>
          <w:lang w:val="es-ES"/>
        </w:rPr>
        <w:t xml:space="preserve">Ejecutar modelos numéricos y llevar a cabo el </w:t>
      </w:r>
      <w:r w:rsidR="00B645A6">
        <w:rPr>
          <w:lang w:val="es-ES"/>
        </w:rPr>
        <w:t>proceso</w:t>
      </w:r>
      <w:r>
        <w:rPr>
          <w:lang w:val="es-ES"/>
        </w:rPr>
        <w:t xml:space="preserve"> posterior.</w:t>
      </w:r>
    </w:p>
    <w:p w14:paraId="7DF25872" w14:textId="77777777" w:rsidR="003E5D1B" w:rsidRPr="008357EA" w:rsidRDefault="00E26782">
      <w:pPr>
        <w:numPr>
          <w:ilvl w:val="0"/>
          <w:numId w:val="27"/>
        </w:numPr>
        <w:tabs>
          <w:tab w:val="clear" w:pos="1134"/>
        </w:tabs>
        <w:spacing w:after="240" w:line="240" w:lineRule="exact"/>
        <w:ind w:left="1134" w:hanging="567"/>
        <w:jc w:val="left"/>
        <w:rPr>
          <w:color w:val="000000" w:themeColor="text1"/>
          <w:szCs w:val="22"/>
          <w:lang w:val="es-419"/>
        </w:rPr>
      </w:pPr>
      <w:r>
        <w:rPr>
          <w:lang w:val="es-ES"/>
        </w:rPr>
        <w:t xml:space="preserve">Elaborar e interpretar predicciones y resultados de modelos. </w:t>
      </w:r>
    </w:p>
    <w:p w14:paraId="553802FA" w14:textId="77777777" w:rsidR="003E5D1B" w:rsidRDefault="00E26782">
      <w:pPr>
        <w:numPr>
          <w:ilvl w:val="0"/>
          <w:numId w:val="27"/>
        </w:numPr>
        <w:tabs>
          <w:tab w:val="clear" w:pos="1134"/>
        </w:tabs>
        <w:spacing w:after="240" w:line="240" w:lineRule="exact"/>
        <w:ind w:left="1134" w:hanging="567"/>
        <w:jc w:val="left"/>
        <w:rPr>
          <w:color w:val="000000" w:themeColor="text1"/>
          <w:szCs w:val="22"/>
        </w:rPr>
      </w:pPr>
      <w:r>
        <w:rPr>
          <w:lang w:val="es-ES"/>
        </w:rPr>
        <w:t>Elaborar productos derivados.</w:t>
      </w:r>
    </w:p>
    <w:p w14:paraId="60D70A82" w14:textId="77777777" w:rsidR="003E5D1B" w:rsidRPr="008357EA" w:rsidRDefault="00E26782">
      <w:pPr>
        <w:numPr>
          <w:ilvl w:val="0"/>
          <w:numId w:val="27"/>
        </w:numPr>
        <w:tabs>
          <w:tab w:val="clear" w:pos="1134"/>
        </w:tabs>
        <w:spacing w:after="240" w:line="240" w:lineRule="exact"/>
        <w:ind w:left="1134" w:hanging="567"/>
        <w:jc w:val="left"/>
        <w:rPr>
          <w:color w:val="000000" w:themeColor="text1"/>
          <w:szCs w:val="22"/>
          <w:lang w:val="es-419"/>
        </w:rPr>
      </w:pPr>
      <w:r>
        <w:rPr>
          <w:lang w:val="es-ES"/>
        </w:rPr>
        <w:t>Asegurar la calidad de las predicciones.</w:t>
      </w:r>
    </w:p>
    <w:p w14:paraId="34BB0753" w14:textId="77777777" w:rsidR="003E5D1B" w:rsidRPr="008357EA" w:rsidRDefault="00E26782">
      <w:pPr>
        <w:rPr>
          <w:lang w:val="es-419"/>
        </w:rPr>
      </w:pPr>
      <w:r>
        <w:rPr>
          <w:lang w:val="es-ES"/>
        </w:rPr>
        <w:t>Una vez que se hayan formulado y aprobado la descripción de las competencias, los criterios de rendimiento y los resultados del aprendizaje relativos a esas materias, estos deberán incorporarse en el Marco de competencias de la OMM.</w:t>
      </w:r>
    </w:p>
    <w:p w14:paraId="0614DCCA" w14:textId="77777777" w:rsidR="003E5D1B" w:rsidRPr="008357EA" w:rsidRDefault="00E26782">
      <w:pPr>
        <w:rPr>
          <w:lang w:val="es-419"/>
        </w:rPr>
      </w:pPr>
      <w:r w:rsidRPr="008357EA">
        <w:rPr>
          <w:lang w:val="es-419"/>
        </w:rPr>
        <w:br w:type="page"/>
      </w:r>
    </w:p>
    <w:p w14:paraId="6966D87E" w14:textId="48DC407F" w:rsidR="003E5D1B" w:rsidRDefault="00E26782">
      <w:pPr>
        <w:keepNext/>
        <w:tabs>
          <w:tab w:val="clear" w:pos="1134"/>
        </w:tabs>
        <w:spacing w:after="560" w:line="280" w:lineRule="exact"/>
        <w:jc w:val="left"/>
        <w:outlineLvl w:val="2"/>
        <w:rPr>
          <w:b/>
          <w:bCs/>
          <w:lang w:val="es-ES"/>
        </w:rPr>
      </w:pPr>
      <w:bookmarkStart w:id="241" w:name="_Toc113003358"/>
      <w:bookmarkStart w:id="242" w:name="_Toc113024482"/>
      <w:bookmarkStart w:id="243" w:name="_Toc117502008"/>
      <w:r>
        <w:rPr>
          <w:b/>
          <w:bCs/>
          <w:lang w:val="es-ES"/>
        </w:rPr>
        <w:lastRenderedPageBreak/>
        <w:t>APÉNDICE 2.3.1 PROCESO DE PREDICCIÓN RECOMENDADO PARA EL PERÍODO D+0 A D+3</w:t>
      </w:r>
      <w:bookmarkEnd w:id="241"/>
      <w:bookmarkEnd w:id="242"/>
      <w:bookmarkEnd w:id="243"/>
    </w:p>
    <w:p w14:paraId="39FAA808" w14:textId="77777777" w:rsidR="00D44007" w:rsidRPr="001E3D82" w:rsidRDefault="00D44007" w:rsidP="00D44007">
      <w:r>
        <w:rPr>
          <w:noProof/>
        </w:rPr>
        <mc:AlternateContent>
          <mc:Choice Requires="wps">
            <w:drawing>
              <wp:anchor distT="0" distB="0" distL="114300" distR="114300" simplePos="0" relativeHeight="251664384" behindDoc="0" locked="0" layoutInCell="1" allowOverlap="1" wp14:anchorId="7A3A7367" wp14:editId="2F6A362C">
                <wp:simplePos x="0" y="0"/>
                <wp:positionH relativeFrom="column">
                  <wp:posOffset>4570518</wp:posOffset>
                </wp:positionH>
                <wp:positionV relativeFrom="paragraph">
                  <wp:posOffset>5664200</wp:posOffset>
                </wp:positionV>
                <wp:extent cx="719666" cy="576580"/>
                <wp:effectExtent l="0" t="0" r="0" b="0"/>
                <wp:wrapNone/>
                <wp:docPr id="20" name="Caixa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9666" cy="576580"/>
                        </a:xfrm>
                        <a:prstGeom prst="rect">
                          <a:avLst/>
                        </a:prstGeom>
                        <a:noFill/>
                        <a:ln w="6350">
                          <a:noFill/>
                        </a:ln>
                      </wps:spPr>
                      <wps:txbx>
                        <w:txbxContent>
                          <w:p w14:paraId="378E9754" w14:textId="77777777" w:rsidR="00D44007" w:rsidRPr="006244E7" w:rsidRDefault="00D44007" w:rsidP="00D44007">
                            <w:pPr>
                              <w:jc w:val="center"/>
                              <w:rPr>
                                <w:rFonts w:asciiTheme="minorHAnsi" w:hAnsiTheme="minorHAnsi" w:cstheme="minorHAnsi"/>
                                <w:color w:val="FF0000"/>
                                <w:sz w:val="12"/>
                                <w:szCs w:val="12"/>
                              </w:rPr>
                            </w:pPr>
                            <w:r w:rsidRPr="006244E7">
                              <w:rPr>
                                <w:rFonts w:asciiTheme="minorHAnsi" w:hAnsiTheme="minorHAnsi" w:cstheme="minorHAnsi"/>
                                <w:color w:val="FF0000"/>
                                <w:sz w:val="12"/>
                                <w:szCs w:val="12"/>
                              </w:rPr>
                              <w:t>Emitir advertencia meteorológica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3A7367" id="_x0000_t202" coordsize="21600,21600" o:spt="202" path="m,l,21600r21600,l21600,xe">
                <v:stroke joinstyle="miter"/>
                <v:path gradientshapeok="t" o:connecttype="rect"/>
              </v:shapetype>
              <v:shape id="Caixa de Texto 14" o:spid="_x0000_s1026" type="#_x0000_t202" style="position:absolute;left:0;text-align:left;margin-left:359.9pt;margin-top:446pt;width:56.65pt;height:4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" filled="f" stroked="f" strokeweight=".5pt">
                <v:textbox>
                  <w:txbxContent>
                    <w:p w14:paraId="378E9754" w14:textId="77777777" w:rsidR="00D44007" w:rsidRPr="006244E7" w:rsidRDefault="00D44007" w:rsidP="00D44007">
                      <w:pPr>
                        <w:jc w:val="center"/>
                        <w:rPr>
                          <w:rFonts w:asciiTheme="minorHAnsi" w:hAnsiTheme="minorHAnsi" w:cstheme="minorHAnsi"/>
                          <w:color w:val="FF0000"/>
                          <w:sz w:val="12"/>
                          <w:szCs w:val="12"/>
                        </w:rPr>
                      </w:pPr>
                      <w:r w:rsidRPr="006244E7">
                        <w:rPr>
                          <w:rFonts w:asciiTheme="minorHAnsi" w:hAnsiTheme="minorHAnsi" w:cstheme="minorHAnsi"/>
                          <w:color w:val="FF0000"/>
                          <w:sz w:val="12"/>
                          <w:szCs w:val="12"/>
                        </w:rPr>
                        <w:t>Emitir advertencia meteorológica</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18AD044A" wp14:editId="408A373E">
                <wp:simplePos x="0" y="0"/>
                <wp:positionH relativeFrom="column">
                  <wp:posOffset>4605867</wp:posOffset>
                </wp:positionH>
                <wp:positionV relativeFrom="paragraph">
                  <wp:posOffset>4343400</wp:posOffset>
                </wp:positionV>
                <wp:extent cx="654050" cy="561340"/>
                <wp:effectExtent l="0" t="0" r="0" b="0"/>
                <wp:wrapNone/>
                <wp:docPr id="25" name="Caixa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050" cy="561340"/>
                        </a:xfrm>
                        <a:prstGeom prst="rect">
                          <a:avLst/>
                        </a:prstGeom>
                        <a:noFill/>
                        <a:ln w="6350">
                          <a:noFill/>
                        </a:ln>
                      </wps:spPr>
                      <wps:txbx>
                        <w:txbxContent>
                          <w:p w14:paraId="74504F9F" w14:textId="77777777" w:rsidR="00D44007" w:rsidRPr="006244E7" w:rsidRDefault="00D44007" w:rsidP="00D44007">
                            <w:pPr>
                              <w:jc w:val="center"/>
                              <w:rPr>
                                <w:rFonts w:asciiTheme="minorHAnsi" w:hAnsiTheme="minorHAnsi" w:cstheme="minorHAnsi"/>
                                <w:color w:val="FF0000"/>
                                <w:sz w:val="12"/>
                                <w:szCs w:val="12"/>
                              </w:rPr>
                            </w:pPr>
                            <w:r w:rsidRPr="006244E7">
                              <w:rPr>
                                <w:rFonts w:asciiTheme="minorHAnsi" w:hAnsiTheme="minorHAnsi" w:cstheme="minorHAnsi"/>
                                <w:color w:val="FF0000"/>
                                <w:sz w:val="12"/>
                                <w:szCs w:val="12"/>
                              </w:rPr>
                              <w:t>¿Probables condiciones meteorológicas adversas?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D044A" id="Caixa de Texto 10" o:spid="_x0000_s1027" type="#_x0000_t202" style="position:absolute;left:0;text-align:left;margin-left:362.65pt;margin-top:342pt;width:51.5pt;height:4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" filled="f" stroked="f" strokeweight=".5pt">
                <v:textbox>
                  <w:txbxContent>
                    <w:p w14:paraId="74504F9F" w14:textId="77777777" w:rsidR="00D44007" w:rsidRPr="006244E7" w:rsidRDefault="00D44007" w:rsidP="00D44007">
                      <w:pPr>
                        <w:jc w:val="center"/>
                        <w:rPr>
                          <w:rFonts w:asciiTheme="minorHAnsi" w:hAnsiTheme="minorHAnsi" w:cstheme="minorHAnsi"/>
                          <w:color w:val="FF0000"/>
                          <w:sz w:val="12"/>
                          <w:szCs w:val="12"/>
                        </w:rPr>
                      </w:pPr>
                      <w:r w:rsidRPr="006244E7">
                        <w:rPr>
                          <w:rFonts w:asciiTheme="minorHAnsi" w:hAnsiTheme="minorHAnsi" w:cstheme="minorHAnsi"/>
                          <w:color w:val="FF0000"/>
                          <w:sz w:val="12"/>
                          <w:szCs w:val="12"/>
                        </w:rPr>
                        <w:t>¿Probables condiciones meteorológicas adversas?</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11760D62" wp14:editId="78EC237E">
                <wp:simplePos x="0" y="0"/>
                <wp:positionH relativeFrom="column">
                  <wp:posOffset>4610100</wp:posOffset>
                </wp:positionH>
                <wp:positionV relativeFrom="paragraph">
                  <wp:posOffset>5374640</wp:posOffset>
                </wp:positionV>
                <wp:extent cx="611505" cy="928370"/>
                <wp:effectExtent l="0" t="0" r="0" b="0"/>
                <wp:wrapNone/>
                <wp:docPr id="19" name="Retângulo de Cantos Arredondados No Mesmo Lad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611505" cy="928370"/>
                        </a:xfrm>
                        <a:prstGeom prst="round2SameRect">
                          <a:avLst/>
                        </a:prstGeom>
                        <a:no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57E0D" id="Retângulo de Cantos Arredondados No Mesmo Lado 15" o:spid="_x0000_s1026" style="position:absolute;margin-left:363pt;margin-top:423.2pt;width:48.15pt;height:73.1pt;rotation:18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1505,928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" path="m101920,l509585,v56289,,101920,45631,101920,101920l611505,928370r,l,928370r,l,101920c,45631,45631,,101920,xe" filled="f" strokecolor="#4f81bd" strokeweight="2pt">
                <v:path arrowok="t" o:connecttype="custom" o:connectlocs="101920,0;509585,0;611505,101920;611505,928370;611505,928370;0,928370;0,928370;0,101920;101920,0" o:connectangles="0,0,0,0,0,0,0,0,0"/>
              </v:shape>
            </w:pict>
          </mc:Fallback>
        </mc:AlternateContent>
      </w:r>
      <w:r>
        <w:rPr>
          <w:noProof/>
        </w:rPr>
        <mc:AlternateContent>
          <mc:Choice Requires="wps">
            <w:drawing>
              <wp:anchor distT="0" distB="0" distL="114300" distR="114300" simplePos="0" relativeHeight="251662336" behindDoc="0" locked="0" layoutInCell="1" allowOverlap="1" wp14:anchorId="161A9023" wp14:editId="14184FD5">
                <wp:simplePos x="0" y="0"/>
                <wp:positionH relativeFrom="column">
                  <wp:posOffset>4582795</wp:posOffset>
                </wp:positionH>
                <wp:positionV relativeFrom="paragraph">
                  <wp:posOffset>5014595</wp:posOffset>
                </wp:positionV>
                <wp:extent cx="673100" cy="614045"/>
                <wp:effectExtent l="0" t="38100" r="0" b="46355"/>
                <wp:wrapNone/>
                <wp:docPr id="21" name="Divisa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673100" cy="614045"/>
                        </a:xfrm>
                        <a:prstGeom prst="chevron">
                          <a:avLst>
                            <a:gd name="adj" fmla="val 40768"/>
                          </a:avLst>
                        </a:prstGeom>
                        <a:solidFill>
                          <a:srgbClr val="4F81BD"/>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E6ACEA"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Divisa 13" o:spid="_x0000_s1026" type="#_x0000_t55" style="position:absolute;margin-left:360.85pt;margin-top:394.85pt;width:53pt;height:48.3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" adj="13567" fillcolor="#4f81bd" strokecolor="#4f81bd" strokeweight="2pt">
                <v:path arrowok="t"/>
              </v:shape>
            </w:pict>
          </mc:Fallback>
        </mc:AlternateContent>
      </w:r>
      <w:r>
        <w:rPr>
          <w:noProof/>
        </w:rPr>
        <mc:AlternateContent>
          <mc:Choice Requires="wps">
            <w:drawing>
              <wp:anchor distT="0" distB="0" distL="114300" distR="114300" simplePos="0" relativeHeight="251665408" behindDoc="0" locked="0" layoutInCell="1" allowOverlap="1" wp14:anchorId="03BB4BF0" wp14:editId="435CFA73">
                <wp:simplePos x="0" y="0"/>
                <wp:positionH relativeFrom="column">
                  <wp:posOffset>4714875</wp:posOffset>
                </wp:positionH>
                <wp:positionV relativeFrom="paragraph">
                  <wp:posOffset>5278120</wp:posOffset>
                </wp:positionV>
                <wp:extent cx="426720" cy="337185"/>
                <wp:effectExtent l="0" t="0" r="0" b="0"/>
                <wp:wrapNone/>
                <wp:docPr id="22" name="Caixa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720" cy="337185"/>
                        </a:xfrm>
                        <a:prstGeom prst="rect">
                          <a:avLst/>
                        </a:prstGeom>
                        <a:noFill/>
                        <a:ln w="6350">
                          <a:noFill/>
                        </a:ln>
                      </wps:spPr>
                      <wps:txbx>
                        <w:txbxContent>
                          <w:p w14:paraId="480B8C5C" w14:textId="77777777" w:rsidR="00D44007" w:rsidRPr="00491C39" w:rsidRDefault="00D44007" w:rsidP="00D44007">
                            <w:pPr>
                              <w:jc w:val="center"/>
                              <w:rPr>
                                <w:color w:val="FF0000"/>
                              </w:rPr>
                            </w:pPr>
                            <w:r>
                              <w:rPr>
                                <w:color w:val="FFFFFF" w:themeColor="background1"/>
                              </w:rPr>
                              <w:t>Sí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B4BF0" id="Caixa de Texto 12" o:spid="_x0000_s1028" type="#_x0000_t202" style="position:absolute;left:0;text-align:left;margin-left:371.25pt;margin-top:415.6pt;width:33.6pt;height:26.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" filled="f" stroked="f" strokeweight=".5pt">
                <v:textbox>
                  <w:txbxContent>
                    <w:p w14:paraId="480B8C5C" w14:textId="77777777" w:rsidR="00D44007" w:rsidRPr="00491C39" w:rsidRDefault="00D44007" w:rsidP="00D44007">
                      <w:pPr>
                        <w:jc w:val="center"/>
                        <w:rPr>
                          <w:color w:val="FF0000"/>
                        </w:rPr>
                      </w:pPr>
                      <w:r>
                        <w:rPr>
                          <w:color w:val="FFFFFF" w:themeColor="background1"/>
                        </w:rPr>
                        <w:t>Sí</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6100D375" wp14:editId="77BD2CDB">
                <wp:simplePos x="0" y="0"/>
                <wp:positionH relativeFrom="column">
                  <wp:posOffset>4516755</wp:posOffset>
                </wp:positionH>
                <wp:positionV relativeFrom="paragraph">
                  <wp:posOffset>4187825</wp:posOffset>
                </wp:positionV>
                <wp:extent cx="611505" cy="854075"/>
                <wp:effectExtent l="127000" t="0" r="125095" b="0"/>
                <wp:wrapNone/>
                <wp:docPr id="23" name="Retângulo de Cantos Arredondados No Mesmo Lado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611505" cy="854075"/>
                        </a:xfrm>
                        <a:prstGeom prst="round2SameRect">
                          <a:avLst/>
                        </a:prstGeom>
                        <a:no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92688" id="Retângulo de Cantos Arredondados No Mesmo Lado 11" o:spid="_x0000_s1026" style="position:absolute;margin-left:355.65pt;margin-top:329.75pt;width:48.15pt;height:67.2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1505,854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" path="m101920,l509585,v56289,,101920,45631,101920,101920l611505,854075r,l,854075r,l,101920c,45631,45631,,101920,xe" filled="f" strokecolor="#4f81bd" strokeweight="2pt">
                <v:path arrowok="t" o:connecttype="custom" o:connectlocs="101920,0;509585,0;611505,101920;611505,854075;611505,854075;0,854075;0,854075;0,101920;101920,0" o:connectangles="0,0,0,0,0,0,0,0,0"/>
              </v:shape>
            </w:pict>
          </mc:Fallback>
        </mc:AlternateContent>
      </w:r>
      <w:r>
        <w:rPr>
          <w:noProof/>
        </w:rPr>
        <mc:AlternateContent>
          <mc:Choice Requires="wps">
            <w:drawing>
              <wp:anchor distT="0" distB="0" distL="114300" distR="114300" simplePos="0" relativeHeight="251660288" behindDoc="0" locked="0" layoutInCell="1" allowOverlap="1" wp14:anchorId="2F6EC957" wp14:editId="482EEB24">
                <wp:simplePos x="0" y="0"/>
                <wp:positionH relativeFrom="column">
                  <wp:posOffset>3966210</wp:posOffset>
                </wp:positionH>
                <wp:positionV relativeFrom="paragraph">
                  <wp:posOffset>4312285</wp:posOffset>
                </wp:positionV>
                <wp:extent cx="687070" cy="614045"/>
                <wp:effectExtent l="12700" t="0" r="11430" b="0"/>
                <wp:wrapNone/>
                <wp:docPr id="26" name="Divisa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070" cy="614045"/>
                        </a:xfrm>
                        <a:prstGeom prst="chevron">
                          <a:avLst>
                            <a:gd name="adj" fmla="val 40768"/>
                          </a:avLst>
                        </a:prstGeom>
                        <a:solidFill>
                          <a:srgbClr val="4F81BD"/>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E0F7C2D" id="Divisa 9" o:spid="_x0000_s1026" type="#_x0000_t55" style="position:absolute;margin-left:312.3pt;margin-top:339.55pt;width:54.1pt;height:48.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" adj="13730" fillcolor="#4f81bd" strokecolor="#4f81bd" strokeweight="2pt">
                <v:path arrowok="t"/>
              </v:shape>
            </w:pict>
          </mc:Fallback>
        </mc:AlternateContent>
      </w:r>
      <w:r>
        <w:rPr>
          <w:noProof/>
        </w:rPr>
        <w:drawing>
          <wp:inline distT="0" distB="0" distL="0" distR="0" wp14:anchorId="4AFFAA6E" wp14:editId="0FF9CCCF">
            <wp:extent cx="3938905" cy="7861716"/>
            <wp:effectExtent l="38100" t="19050" r="61595" b="25400"/>
            <wp:docPr id="34"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14:paraId="600D1EA2" w14:textId="7D126F0C" w:rsidR="00D44007" w:rsidRPr="00D44007" w:rsidRDefault="00D44007" w:rsidP="00D44007">
      <w:pPr>
        <w:keepNext/>
        <w:tabs>
          <w:tab w:val="clear" w:pos="1134"/>
        </w:tabs>
        <w:spacing w:after="560" w:line="280" w:lineRule="exact"/>
        <w:jc w:val="left"/>
        <w:outlineLvl w:val="2"/>
        <w:rPr>
          <w:b/>
          <w:bCs/>
          <w:lang w:val="es-ES"/>
        </w:rPr>
      </w:pPr>
      <w:r w:rsidRPr="00D44007">
        <w:rPr>
          <w:b/>
          <w:bCs/>
          <w:lang w:val="es-ES"/>
        </w:rPr>
        <w:lastRenderedPageBreak/>
        <w:t>APÉNDICE 2.3.2 PROCESO DE PREDICCIÓN RECOMENDADO PARA EL PERÍODO D+4 A D+10</w:t>
      </w:r>
    </w:p>
    <w:p w14:paraId="725D23FC" w14:textId="77777777" w:rsidR="00D44007" w:rsidRPr="006244E7" w:rsidRDefault="00D44007" w:rsidP="00D44007">
      <w:pPr>
        <w:tabs>
          <w:tab w:val="clear" w:pos="1134"/>
        </w:tabs>
        <w:rPr>
          <w:rFonts w:asciiTheme="minorHAnsi" w:hAnsiTheme="minorHAnsi" w:cstheme="minorHAnsi"/>
          <w:sz w:val="12"/>
          <w:szCs w:val="12"/>
        </w:rPr>
      </w:pPr>
      <w:r w:rsidRPr="006244E7">
        <w:rPr>
          <w:rFonts w:asciiTheme="minorHAnsi" w:hAnsiTheme="minorHAnsi" w:cstheme="minorHAnsi"/>
          <w:noProof/>
          <w:sz w:val="12"/>
          <w:szCs w:val="12"/>
        </w:rPr>
        <mc:AlternateContent>
          <mc:Choice Requires="wps">
            <w:drawing>
              <wp:anchor distT="0" distB="0" distL="114300" distR="114300" simplePos="0" relativeHeight="251667456" behindDoc="0" locked="0" layoutInCell="1" allowOverlap="1" wp14:anchorId="49621D20" wp14:editId="54043B0D">
                <wp:simplePos x="0" y="0"/>
                <wp:positionH relativeFrom="column">
                  <wp:posOffset>4023360</wp:posOffset>
                </wp:positionH>
                <wp:positionV relativeFrom="paragraph">
                  <wp:posOffset>3390265</wp:posOffset>
                </wp:positionV>
                <wp:extent cx="687070" cy="614045"/>
                <wp:effectExtent l="12700" t="0" r="11430" b="0"/>
                <wp:wrapNone/>
                <wp:docPr id="27" name="Divisa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070" cy="614045"/>
                        </a:xfrm>
                        <a:prstGeom prst="chevron">
                          <a:avLst>
                            <a:gd name="adj" fmla="val 40768"/>
                          </a:avLst>
                        </a:prstGeom>
                        <a:solidFill>
                          <a:srgbClr val="4F81BD"/>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B12BBB6" id="Divisa 8" o:spid="_x0000_s1026" type="#_x0000_t55" style="position:absolute;margin-left:316.8pt;margin-top:266.95pt;width:54.1pt;height:48.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" adj="13730" fillcolor="#4f81bd" strokecolor="#4f81bd" strokeweight="2pt">
                <v:path arrowok="t"/>
              </v:shape>
            </w:pict>
          </mc:Fallback>
        </mc:AlternateContent>
      </w:r>
      <w:r w:rsidRPr="006244E7">
        <w:rPr>
          <w:rFonts w:asciiTheme="minorHAnsi" w:hAnsiTheme="minorHAnsi" w:cstheme="minorHAnsi"/>
          <w:noProof/>
          <w:sz w:val="12"/>
          <w:szCs w:val="12"/>
        </w:rPr>
        <mc:AlternateContent>
          <mc:Choice Requires="wps">
            <w:drawing>
              <wp:anchor distT="0" distB="0" distL="114300" distR="114300" simplePos="0" relativeHeight="251668480" behindDoc="0" locked="0" layoutInCell="1" allowOverlap="1" wp14:anchorId="415A472D" wp14:editId="3F6960F0">
                <wp:simplePos x="0" y="0"/>
                <wp:positionH relativeFrom="column">
                  <wp:posOffset>4661535</wp:posOffset>
                </wp:positionH>
                <wp:positionV relativeFrom="paragraph">
                  <wp:posOffset>3418840</wp:posOffset>
                </wp:positionV>
                <wp:extent cx="644525" cy="561340"/>
                <wp:effectExtent l="0" t="0" r="0" b="0"/>
                <wp:wrapNone/>
                <wp:docPr id="28" name="Caixa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525" cy="561340"/>
                        </a:xfrm>
                        <a:prstGeom prst="rect">
                          <a:avLst/>
                        </a:prstGeom>
                        <a:noFill/>
                        <a:ln w="6350">
                          <a:noFill/>
                        </a:ln>
                      </wps:spPr>
                      <wps:txbx>
                        <w:txbxContent>
                          <w:p w14:paraId="7E147A2A" w14:textId="77777777" w:rsidR="00D44007" w:rsidRPr="00521A2A" w:rsidRDefault="00D44007" w:rsidP="00D44007">
                            <w:pPr>
                              <w:jc w:val="center"/>
                              <w:rPr>
                                <w:rFonts w:asciiTheme="minorHAnsi" w:hAnsiTheme="minorHAnsi" w:cstheme="minorHAnsi"/>
                                <w:color w:val="FF0000"/>
                                <w:sz w:val="12"/>
                                <w:szCs w:val="12"/>
                              </w:rPr>
                            </w:pPr>
                            <w:r w:rsidRPr="00521A2A">
                              <w:rPr>
                                <w:rFonts w:asciiTheme="minorHAnsi" w:hAnsiTheme="minorHAnsi" w:cstheme="minorHAnsi"/>
                                <w:color w:val="FF0000"/>
                                <w:sz w:val="12"/>
                                <w:szCs w:val="12"/>
                              </w:rPr>
                              <w:t>¿Probables condiciones meteorológicas adversas?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A472D" id="Caixa de Texto 7" o:spid="_x0000_s1029" type="#_x0000_t202" style="position:absolute;left:0;text-align:left;margin-left:367.05pt;margin-top:269.2pt;width:50.75pt;height:44.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" filled="f" stroked="f" strokeweight=".5pt">
                <v:textbox>
                  <w:txbxContent>
                    <w:p w14:paraId="7E147A2A" w14:textId="77777777" w:rsidR="00D44007" w:rsidRPr="00521A2A" w:rsidRDefault="00D44007" w:rsidP="00D44007">
                      <w:pPr>
                        <w:jc w:val="center"/>
                        <w:rPr>
                          <w:rFonts w:asciiTheme="minorHAnsi" w:hAnsiTheme="minorHAnsi" w:cstheme="minorHAnsi"/>
                          <w:color w:val="FF0000"/>
                          <w:sz w:val="12"/>
                          <w:szCs w:val="12"/>
                        </w:rPr>
                      </w:pPr>
                      <w:r w:rsidRPr="00521A2A">
                        <w:rPr>
                          <w:rFonts w:asciiTheme="minorHAnsi" w:hAnsiTheme="minorHAnsi" w:cstheme="minorHAnsi"/>
                          <w:color w:val="FF0000"/>
                          <w:sz w:val="12"/>
                          <w:szCs w:val="12"/>
                        </w:rPr>
                        <w:t>¿Probables condiciones meteorológicas adversas?</w:t>
                      </w:r>
                    </w:p>
                  </w:txbxContent>
                </v:textbox>
              </v:shape>
            </w:pict>
          </mc:Fallback>
        </mc:AlternateContent>
      </w:r>
      <w:r w:rsidRPr="006244E7">
        <w:rPr>
          <w:rFonts w:asciiTheme="minorHAnsi" w:hAnsiTheme="minorHAnsi" w:cstheme="minorHAnsi"/>
          <w:noProof/>
          <w:sz w:val="12"/>
          <w:szCs w:val="12"/>
        </w:rPr>
        <mc:AlternateContent>
          <mc:Choice Requires="wps">
            <w:drawing>
              <wp:anchor distT="0" distB="0" distL="114300" distR="114300" simplePos="0" relativeHeight="251666432" behindDoc="0" locked="0" layoutInCell="1" allowOverlap="1" wp14:anchorId="48B8BDFD" wp14:editId="725D74D7">
                <wp:simplePos x="0" y="0"/>
                <wp:positionH relativeFrom="column">
                  <wp:posOffset>4573905</wp:posOffset>
                </wp:positionH>
                <wp:positionV relativeFrom="paragraph">
                  <wp:posOffset>3265805</wp:posOffset>
                </wp:positionV>
                <wp:extent cx="611505" cy="854075"/>
                <wp:effectExtent l="127000" t="0" r="125095" b="0"/>
                <wp:wrapNone/>
                <wp:docPr id="29" name="Retângulo de Cantos Arredondados No Mesmo Lad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611505" cy="854075"/>
                        </a:xfrm>
                        <a:prstGeom prst="round2SameRect">
                          <a:avLst/>
                        </a:prstGeom>
                        <a:no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80E7D" id="Retângulo de Cantos Arredondados No Mesmo Lado 6" o:spid="_x0000_s1026" style="position:absolute;margin-left:360.15pt;margin-top:257.15pt;width:48.15pt;height:67.2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1505,854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" path="m101920,l509585,v56289,,101920,45631,101920,101920l611505,854075r,l,854075r,l,101920c,45631,45631,,101920,xe" filled="f" strokecolor="#4f81bd" strokeweight="2pt">
                <v:path arrowok="t" o:connecttype="custom" o:connectlocs="101920,0;509585,0;611505,101920;611505,854075;611505,854075;0,854075;0,854075;0,101920;101920,0" o:connectangles="0,0,0,0,0,0,0,0,0"/>
              </v:shape>
            </w:pict>
          </mc:Fallback>
        </mc:AlternateContent>
      </w:r>
      <w:r w:rsidRPr="006244E7">
        <w:rPr>
          <w:rFonts w:asciiTheme="minorHAnsi" w:hAnsiTheme="minorHAnsi" w:cstheme="minorHAnsi"/>
          <w:noProof/>
          <w:sz w:val="12"/>
          <w:szCs w:val="12"/>
        </w:rPr>
        <mc:AlternateContent>
          <mc:Choice Requires="wps">
            <w:drawing>
              <wp:anchor distT="0" distB="0" distL="114300" distR="114300" simplePos="0" relativeHeight="251672576" behindDoc="0" locked="0" layoutInCell="1" allowOverlap="1" wp14:anchorId="06584575" wp14:editId="036D5BF8">
                <wp:simplePos x="0" y="0"/>
                <wp:positionH relativeFrom="column">
                  <wp:posOffset>4771390</wp:posOffset>
                </wp:positionH>
                <wp:positionV relativeFrom="paragraph">
                  <wp:posOffset>4356100</wp:posOffset>
                </wp:positionV>
                <wp:extent cx="426720" cy="337185"/>
                <wp:effectExtent l="0" t="0" r="0" b="0"/>
                <wp:wrapNone/>
                <wp:docPr id="30" name="Caixa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720" cy="337185"/>
                        </a:xfrm>
                        <a:prstGeom prst="rect">
                          <a:avLst/>
                        </a:prstGeom>
                        <a:noFill/>
                        <a:ln w="6350">
                          <a:noFill/>
                        </a:ln>
                      </wps:spPr>
                      <wps:txbx>
                        <w:txbxContent>
                          <w:p w14:paraId="729F87CE" w14:textId="77777777" w:rsidR="00D44007" w:rsidRPr="00491C39" w:rsidRDefault="00D44007" w:rsidP="00D44007">
                            <w:pPr>
                              <w:jc w:val="center"/>
                              <w:rPr>
                                <w:color w:val="FF0000"/>
                              </w:rPr>
                            </w:pPr>
                            <w:r>
                              <w:rPr>
                                <w:color w:val="FFFFFF" w:themeColor="background1"/>
                              </w:rPr>
                              <w:t>Sí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84575" id="Caixa de Texto 5" o:spid="_x0000_s1030" type="#_x0000_t202" style="position:absolute;left:0;text-align:left;margin-left:375.7pt;margin-top:343pt;width:33.6pt;height:26.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" filled="f" stroked="f" strokeweight=".5pt">
                <v:textbox>
                  <w:txbxContent>
                    <w:p w14:paraId="729F87CE" w14:textId="77777777" w:rsidR="00D44007" w:rsidRPr="00491C39" w:rsidRDefault="00D44007" w:rsidP="00D44007">
                      <w:pPr>
                        <w:jc w:val="center"/>
                        <w:rPr>
                          <w:color w:val="FF0000"/>
                        </w:rPr>
                      </w:pPr>
                      <w:r>
                        <w:rPr>
                          <w:color w:val="FFFFFF" w:themeColor="background1"/>
                        </w:rPr>
                        <w:t>Sí</w:t>
                      </w:r>
                    </w:p>
                  </w:txbxContent>
                </v:textbox>
              </v:shape>
            </w:pict>
          </mc:Fallback>
        </mc:AlternateContent>
      </w:r>
      <w:r w:rsidRPr="006244E7">
        <w:rPr>
          <w:rFonts w:asciiTheme="minorHAnsi" w:hAnsiTheme="minorHAnsi" w:cstheme="minorHAnsi"/>
          <w:noProof/>
          <w:sz w:val="12"/>
          <w:szCs w:val="12"/>
        </w:rPr>
        <mc:AlternateContent>
          <mc:Choice Requires="wps">
            <w:drawing>
              <wp:anchor distT="0" distB="0" distL="114300" distR="114300" simplePos="0" relativeHeight="251669504" behindDoc="0" locked="0" layoutInCell="1" allowOverlap="1" wp14:anchorId="156DF0FE" wp14:editId="35C30715">
                <wp:simplePos x="0" y="0"/>
                <wp:positionH relativeFrom="column">
                  <wp:posOffset>4638040</wp:posOffset>
                </wp:positionH>
                <wp:positionV relativeFrom="paragraph">
                  <wp:posOffset>4090670</wp:posOffset>
                </wp:positionV>
                <wp:extent cx="673100" cy="614045"/>
                <wp:effectExtent l="0" t="38100" r="0" b="46355"/>
                <wp:wrapNone/>
                <wp:docPr id="31" name="Divisa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673100" cy="614045"/>
                        </a:xfrm>
                        <a:prstGeom prst="chevron">
                          <a:avLst>
                            <a:gd name="adj" fmla="val 40768"/>
                          </a:avLst>
                        </a:prstGeom>
                        <a:solidFill>
                          <a:srgbClr val="4F81BD"/>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120D4" id="Divisa 4" o:spid="_x0000_s1026" type="#_x0000_t55" style="position:absolute;margin-left:365.2pt;margin-top:322.1pt;width:53pt;height:48.35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" adj="13567" fillcolor="#4f81bd" strokecolor="#4f81bd" strokeweight="2pt">
                <v:path arrowok="t"/>
              </v:shape>
            </w:pict>
          </mc:Fallback>
        </mc:AlternateContent>
      </w:r>
      <w:r w:rsidRPr="006244E7">
        <w:rPr>
          <w:rFonts w:asciiTheme="minorHAnsi" w:hAnsiTheme="minorHAnsi" w:cstheme="minorHAnsi"/>
          <w:noProof/>
          <w:sz w:val="12"/>
          <w:szCs w:val="12"/>
        </w:rPr>
        <mc:AlternateContent>
          <mc:Choice Requires="wps">
            <w:drawing>
              <wp:anchor distT="0" distB="0" distL="114300" distR="114300" simplePos="0" relativeHeight="251671552" behindDoc="0" locked="0" layoutInCell="1" allowOverlap="1" wp14:anchorId="15F37D0F" wp14:editId="3911666A">
                <wp:simplePos x="0" y="0"/>
                <wp:positionH relativeFrom="column">
                  <wp:posOffset>4664710</wp:posOffset>
                </wp:positionH>
                <wp:positionV relativeFrom="paragraph">
                  <wp:posOffset>4741545</wp:posOffset>
                </wp:positionV>
                <wp:extent cx="654050" cy="576580"/>
                <wp:effectExtent l="0" t="0" r="0" b="0"/>
                <wp:wrapNone/>
                <wp:docPr id="32"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050" cy="576580"/>
                        </a:xfrm>
                        <a:prstGeom prst="rect">
                          <a:avLst/>
                        </a:prstGeom>
                        <a:noFill/>
                        <a:ln w="6350">
                          <a:noFill/>
                        </a:ln>
                      </wps:spPr>
                      <wps:txbx>
                        <w:txbxContent>
                          <w:p w14:paraId="6D29CF10" w14:textId="77777777" w:rsidR="00D44007" w:rsidRPr="006244E7" w:rsidRDefault="00D44007" w:rsidP="00D44007">
                            <w:pPr>
                              <w:jc w:val="center"/>
                              <w:rPr>
                                <w:rFonts w:asciiTheme="minorHAnsi" w:hAnsiTheme="minorHAnsi" w:cstheme="minorHAnsi"/>
                                <w:color w:val="FF0000"/>
                                <w:sz w:val="12"/>
                                <w:szCs w:val="12"/>
                              </w:rPr>
                            </w:pPr>
                            <w:r w:rsidRPr="006244E7">
                              <w:rPr>
                                <w:rFonts w:asciiTheme="minorHAnsi" w:hAnsiTheme="minorHAnsi" w:cstheme="minorHAnsi"/>
                                <w:color w:val="FF0000"/>
                                <w:sz w:val="12"/>
                                <w:szCs w:val="12"/>
                              </w:rPr>
                              <w:t>Emitir advertencia meteorológica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37D0F" id="Caixa de Texto 3" o:spid="_x0000_s1031" type="#_x0000_t202" style="position:absolute;left:0;text-align:left;margin-left:367.3pt;margin-top:373.35pt;width:51.5pt;height:45.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" filled="f" stroked="f" strokeweight=".5pt">
                <v:textbox>
                  <w:txbxContent>
                    <w:p w14:paraId="6D29CF10" w14:textId="77777777" w:rsidR="00D44007" w:rsidRPr="006244E7" w:rsidRDefault="00D44007" w:rsidP="00D44007">
                      <w:pPr>
                        <w:jc w:val="center"/>
                        <w:rPr>
                          <w:rFonts w:asciiTheme="minorHAnsi" w:hAnsiTheme="minorHAnsi" w:cstheme="minorHAnsi"/>
                          <w:color w:val="FF0000"/>
                          <w:sz w:val="12"/>
                          <w:szCs w:val="12"/>
                        </w:rPr>
                      </w:pPr>
                      <w:r w:rsidRPr="006244E7">
                        <w:rPr>
                          <w:rFonts w:asciiTheme="minorHAnsi" w:hAnsiTheme="minorHAnsi" w:cstheme="minorHAnsi"/>
                          <w:color w:val="FF0000"/>
                          <w:sz w:val="12"/>
                          <w:szCs w:val="12"/>
                        </w:rPr>
                        <w:t>Emitir advertencia meteorológica</w:t>
                      </w:r>
                    </w:p>
                  </w:txbxContent>
                </v:textbox>
              </v:shape>
            </w:pict>
          </mc:Fallback>
        </mc:AlternateContent>
      </w:r>
      <w:r w:rsidRPr="006244E7">
        <w:rPr>
          <w:rFonts w:asciiTheme="minorHAnsi" w:hAnsiTheme="minorHAnsi" w:cstheme="minorHAnsi"/>
          <w:noProof/>
          <w:sz w:val="12"/>
          <w:szCs w:val="12"/>
        </w:rPr>
        <mc:AlternateContent>
          <mc:Choice Requires="wps">
            <w:drawing>
              <wp:anchor distT="0" distB="0" distL="114300" distR="114300" simplePos="0" relativeHeight="251670528" behindDoc="0" locked="0" layoutInCell="1" allowOverlap="1" wp14:anchorId="6B92D2A9" wp14:editId="7AA89BA5">
                <wp:simplePos x="0" y="0"/>
                <wp:positionH relativeFrom="column">
                  <wp:posOffset>4667250</wp:posOffset>
                </wp:positionH>
                <wp:positionV relativeFrom="paragraph">
                  <wp:posOffset>4452620</wp:posOffset>
                </wp:positionV>
                <wp:extent cx="611505" cy="928370"/>
                <wp:effectExtent l="0" t="0" r="0" b="0"/>
                <wp:wrapNone/>
                <wp:docPr id="33" name="Retângulo de Cantos Arredondados No Mesmo Lad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611505" cy="928370"/>
                        </a:xfrm>
                        <a:prstGeom prst="round2SameRect">
                          <a:avLst/>
                        </a:prstGeom>
                        <a:no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B858C" id="Retângulo de Cantos Arredondados No Mesmo Lado 2" o:spid="_x0000_s1026" style="position:absolute;margin-left:367.5pt;margin-top:350.6pt;width:48.15pt;height:73.1pt;rotation:18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1505,928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" path="m101920,l509585,v56289,,101920,45631,101920,101920l611505,928370r,l,928370r,l,101920c,45631,45631,,101920,xe" filled="f" strokecolor="#4f81bd" strokeweight="2pt">
                <v:path arrowok="t" o:connecttype="custom" o:connectlocs="101920,0;509585,0;611505,101920;611505,928370;611505,928370;0,928370;0,928370;0,101920;101920,0" o:connectangles="0,0,0,0,0,0,0,0,0"/>
              </v:shape>
            </w:pict>
          </mc:Fallback>
        </mc:AlternateContent>
      </w:r>
      <w:r w:rsidRPr="006244E7">
        <w:rPr>
          <w:rFonts w:asciiTheme="minorHAnsi" w:hAnsiTheme="minorHAnsi" w:cstheme="minorHAnsi"/>
          <w:noProof/>
          <w:sz w:val="12"/>
          <w:szCs w:val="12"/>
        </w:rPr>
        <w:drawing>
          <wp:inline distT="0" distB="0" distL="0" distR="0" wp14:anchorId="31680BB1" wp14:editId="699E89AB">
            <wp:extent cx="3938905" cy="7534275"/>
            <wp:effectExtent l="38100" t="19050" r="42545" b="28575"/>
            <wp:docPr id="35" name="Diagrama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14:paraId="294BCAD3" w14:textId="77777777" w:rsidR="00D44007" w:rsidRPr="00D44007" w:rsidRDefault="00D44007" w:rsidP="00D44007">
      <w:pPr>
        <w:pStyle w:val="WMOBodyText"/>
        <w:rPr>
          <w:lang w:val="es-ES" w:eastAsia="en-US"/>
        </w:rPr>
      </w:pPr>
    </w:p>
    <w:p w14:paraId="77BCA008" w14:textId="47F2B23C" w:rsidR="003E5D1B" w:rsidRDefault="003E5D1B" w:rsidP="00E43F41">
      <w:pPr>
        <w:tabs>
          <w:tab w:val="clear" w:pos="1134"/>
        </w:tabs>
      </w:pPr>
    </w:p>
    <w:sectPr w:rsidR="003E5D1B">
      <w:headerReference w:type="even" r:id="rId81"/>
      <w:headerReference w:type="default" r:id="rId82"/>
      <w:headerReference w:type="first" r:id="rId83"/>
      <w:pgSz w:w="11907" w:h="16840" w:code="9"/>
      <w:pgMar w:top="1134" w:right="1134" w:bottom="1134" w:left="1134" w:header="1134"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4F50F7" w14:textId="77777777" w:rsidR="00E26782" w:rsidRDefault="00E26782">
      <w:r>
        <w:separator/>
      </w:r>
    </w:p>
    <w:p w14:paraId="0FE1EE19" w14:textId="77777777" w:rsidR="00E26782" w:rsidRDefault="00E26782"/>
    <w:p w14:paraId="6977EACE" w14:textId="77777777" w:rsidR="00E26782" w:rsidRDefault="00E26782"/>
  </w:endnote>
  <w:endnote w:type="continuationSeparator" w:id="0">
    <w:p w14:paraId="659D20DE" w14:textId="77777777" w:rsidR="00E26782" w:rsidRDefault="00E26782">
      <w:r>
        <w:continuationSeparator/>
      </w:r>
    </w:p>
    <w:p w14:paraId="5802E47A" w14:textId="77777777" w:rsidR="00E26782" w:rsidRDefault="00E26782"/>
    <w:p w14:paraId="0203F185" w14:textId="77777777" w:rsidR="00E26782" w:rsidRDefault="00E26782"/>
  </w:endnote>
  <w:endnote w:type="continuationNotice" w:id="1">
    <w:p w14:paraId="183672D9" w14:textId="77777777" w:rsidR="00E26782" w:rsidRDefault="00E267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704020202020204"/>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STIX">
    <w:altName w:val="Calibri"/>
    <w:panose1 w:val="00000000000000000000"/>
    <w:charset w:val="00"/>
    <w:family w:val="modern"/>
    <w:notTrueType/>
    <w:pitch w:val="variable"/>
    <w:sig w:usb0="A0002AFF" w:usb1="42006DFF" w:usb2="02000000" w:usb3="00000000" w:csb0="000001FF" w:csb1="00000000"/>
  </w:font>
  <w:font w:name="STIX Math">
    <w:altName w:val="Calibri"/>
    <w:panose1 w:val="00000000000000000000"/>
    <w:charset w:val="00"/>
    <w:family w:val="modern"/>
    <w:notTrueType/>
    <w:pitch w:val="variable"/>
    <w:sig w:usb0="A0002AFF" w:usb1="4200FDFF" w:usb2="02000020" w:usb3="00000000" w:csb0="000001FF" w:csb1="00000000"/>
  </w:font>
  <w:font w:name="StoneSerif-SemiboldItalic">
    <w:altName w:val="Verdana"/>
    <w:charset w:val="00"/>
    <w:family w:val="roman"/>
    <w:pitch w:val="variable"/>
    <w:sig w:usb0="00000003" w:usb1="00000000" w:usb2="00000000" w:usb3="00000000" w:csb0="00000001" w:csb1="00000000"/>
  </w:font>
  <w:font w:name="StoneSans">
    <w:altName w:val="Cambria"/>
    <w:panose1 w:val="00000000000000000000"/>
    <w:charset w:val="00"/>
    <w:family w:val="swiss"/>
    <w:notTrueType/>
    <w:pitch w:val="default"/>
    <w:sig w:usb0="00000003" w:usb1="00000000" w:usb2="00000000" w:usb3="00000000" w:csb0="00000001" w:csb1="00000000"/>
  </w:font>
  <w:font w:name="StoneSans-Semibold">
    <w:altName w:val="Verdana"/>
    <w:panose1 w:val="00000000000000000000"/>
    <w:charset w:val="4D"/>
    <w:family w:val="auto"/>
    <w:notTrueType/>
    <w:pitch w:val="default"/>
    <w:sig w:usb0="00000003" w:usb1="00000000" w:usb2="00000000" w:usb3="00000000" w:csb0="00000001" w:csb1="00000000"/>
  </w:font>
  <w:font w:name="StoneSans-Bold">
    <w:altName w:val="Calibri"/>
    <w:charset w:val="00"/>
    <w:family w:val="roman"/>
    <w:pitch w:val="variable"/>
    <w:sig w:usb0="00000003" w:usb1="00000000" w:usb2="00000000" w:usb3="00000000" w:csb0="00000001" w:csb1="00000000"/>
  </w:font>
  <w:font w:name="StoneSansITC-Medium">
    <w:altName w:val="Microsoft JhengHei"/>
    <w:panose1 w:val="020B0602030503020204"/>
    <w:charset w:val="4D"/>
    <w:family w:val="auto"/>
    <w:notTrueType/>
    <w:pitch w:val="default"/>
    <w:sig w:usb0="00000003" w:usb1="00000000" w:usb2="00000000" w:usb3="00000000" w:csb0="00000001" w:csb1="00000000"/>
  </w:font>
  <w:font w:name="StoneSansITC-MediumItalic">
    <w:altName w:val="Verdana"/>
    <w:panose1 w:val="020B0602030503090204"/>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66D6D3" w14:textId="77777777" w:rsidR="00E26782" w:rsidRDefault="00E26782">
      <w:r>
        <w:separator/>
      </w:r>
    </w:p>
  </w:footnote>
  <w:footnote w:type="continuationSeparator" w:id="0">
    <w:p w14:paraId="709496D1" w14:textId="77777777" w:rsidR="00E26782" w:rsidRDefault="00E26782">
      <w:r>
        <w:continuationSeparator/>
      </w:r>
    </w:p>
    <w:p w14:paraId="0F6AD168" w14:textId="77777777" w:rsidR="00E26782" w:rsidRDefault="00E26782"/>
    <w:p w14:paraId="0FF03177" w14:textId="77777777" w:rsidR="00E26782" w:rsidRDefault="00E26782"/>
  </w:footnote>
  <w:footnote w:type="continuationNotice" w:id="1">
    <w:p w14:paraId="652167B1" w14:textId="77777777" w:rsidR="00E26782" w:rsidRDefault="00E2678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F01F4" w14:textId="77777777" w:rsidR="003E5D1B" w:rsidRDefault="0097129E">
    <w:pPr>
      <w:pStyle w:val="Header"/>
    </w:pPr>
    <w:r>
      <w:rPr>
        <w:noProof/>
      </w:rPr>
      <w:pict w14:anchorId="4762E834">
        <v:shapetype id="_x0000_m2086"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3872FBA4">
        <v:shape id="_x0000_s2057" type="#_x0000_m2086" style="position:absolute;left:0;text-align:left;margin-left:0;margin-top:0;width:595.3pt;height:550pt;z-index:-25164800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600ABFD6" w14:textId="77777777" w:rsidR="003E5D1B" w:rsidRDefault="003E5D1B"/>
  <w:p w14:paraId="176E588D" w14:textId="77777777" w:rsidR="003E5D1B" w:rsidRDefault="0097129E">
    <w:pPr>
      <w:pStyle w:val="Header"/>
    </w:pPr>
    <w:r>
      <w:rPr>
        <w:noProof/>
      </w:rPr>
      <w:pict w14:anchorId="2E2C99DF">
        <v:shapetype id="_x0000_m208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0017CAF2">
        <v:shape id="_x0000_s2059" type="#_x0000_m2085" style="position:absolute;left:0;text-align:left;margin-left:0;margin-top:0;width:595.3pt;height:550pt;z-index:-25164902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7F47CA99" w14:textId="77777777" w:rsidR="003E5D1B" w:rsidRDefault="003E5D1B"/>
  <w:p w14:paraId="00344453" w14:textId="77777777" w:rsidR="003E5D1B" w:rsidRDefault="0097129E">
    <w:pPr>
      <w:pStyle w:val="Header"/>
    </w:pPr>
    <w:r>
      <w:rPr>
        <w:noProof/>
      </w:rPr>
      <w:pict w14:anchorId="2BD14B9B">
        <v:shapetype id="_x0000_m2084"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174E3ACD">
        <v:shape id="_x0000_s2061" type="#_x0000_m2084" style="position:absolute;left:0;text-align:left;margin-left:0;margin-top:0;width:595.3pt;height:550pt;z-index:-25165004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702DD7A0" w14:textId="77777777" w:rsidR="003E5D1B" w:rsidRDefault="003E5D1B"/>
  <w:p w14:paraId="29B60D2A" w14:textId="77777777" w:rsidR="003E5D1B" w:rsidRDefault="0097129E">
    <w:pPr>
      <w:pStyle w:val="Header"/>
    </w:pPr>
    <w:r>
      <w:rPr>
        <w:noProof/>
      </w:rPr>
      <w:pict w14:anchorId="2F328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8" type="#_x0000_t75" style="position:absolute;left:0;text-align:left;margin-left:0;margin-top:0;width:50pt;height:50pt;z-index:251655168;visibility:hidden">
          <v:path gradientshapeok="f"/>
          <o:lock v:ext="edit" selection="t"/>
        </v:shape>
      </w:pict>
    </w:r>
    <w:r>
      <w:pict w14:anchorId="3FB79DB5">
        <v:shapetype id="_x0000_m208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022A018C">
        <v:shape id="WordPictureWatermark835936646" o:spid="_x0000_s2076" type="#_x0000_m2083" style="position:absolute;left:0;text-align:left;margin-left:0;margin-top:0;width:595.3pt;height:550pt;z-index:-25165209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4823C5AC" w14:textId="77777777" w:rsidR="003E5D1B" w:rsidRDefault="003E5D1B"/>
  <w:p w14:paraId="1F6320EB" w14:textId="77777777" w:rsidR="003E5D1B" w:rsidRDefault="0097129E">
    <w:pPr>
      <w:pStyle w:val="Header"/>
    </w:pPr>
    <w:r>
      <w:rPr>
        <w:noProof/>
      </w:rPr>
      <w:pict w14:anchorId="208A14B4">
        <v:shape id="_x0000_s2056" type="#_x0000_t75" alt="" style="position:absolute;left:0;text-align:left;margin-left:0;margin-top:0;width:50pt;height:50pt;z-index:251665408;visibility:hidden;mso-wrap-edited:f;mso-width-percent:0;mso-height-percent:0;mso-width-percent:0;mso-height-percent:0">
          <v:path gradientshapeok="f"/>
          <o:lock v:ext="edit" selection="t"/>
        </v:shape>
      </w:pict>
    </w:r>
    <w:r>
      <w:pict w14:anchorId="6C4903C0">
        <v:shape id="_x0000_s2075" type="#_x0000_t75" style="position:absolute;left:0;text-align:left;margin-left:0;margin-top:0;width:50pt;height:50pt;z-index:251656192;visibility:hidden">
          <v:path gradientshapeok="f"/>
          <o:lock v:ext="edit" selection="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0F7FC" w14:textId="7FE74A21" w:rsidR="003E5D1B" w:rsidRDefault="00E26782">
    <w:pPr>
      <w:pStyle w:val="Header"/>
    </w:pPr>
    <w:r>
      <w:t xml:space="preserve">EC-76/Doc. 3.2(12), </w:t>
    </w:r>
    <w:r w:rsidR="002D6434">
      <w:t>VERSIÓN</w:t>
    </w:r>
    <w:r>
      <w:t xml:space="preserve"> 1, p. </w:t>
    </w: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r w:rsidR="0097129E">
      <w:pict w14:anchorId="4821BC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alt="" style="position:absolute;left:0;text-align:left;margin-left:0;margin-top:0;width:50pt;height:50pt;z-index:251661312;visibility:hidden;mso-wrap-edited:f;mso-width-percent:0;mso-height-percent:0;mso-position-horizontal-relative:text;mso-position-vertical-relative:text;mso-width-percent:0;mso-height-percent:0">
          <v:path gradientshapeok="f"/>
          <o:lock v:ext="edit" selection="t"/>
        </v:shape>
      </w:pict>
    </w:r>
    <w:r w:rsidR="0097129E">
      <w:pict w14:anchorId="515245FF">
        <v:shape id="_x0000_s2052" type="#_x0000_t75" alt="" style="position:absolute;left:0;text-align:left;margin-left:0;margin-top:0;width:50pt;height:50pt;z-index:251662336;visibility:hidden;mso-wrap-edited:f;mso-width-percent:0;mso-height-percent:0;mso-position-horizontal-relative:text;mso-position-vertical-relative:text;mso-width-percent:0;mso-height-percent:0">
          <v:path gradientshapeok="f"/>
          <o:lock v:ext="edit" selection="t"/>
        </v:shape>
      </w:pict>
    </w:r>
    <w:r w:rsidR="0097129E">
      <w:pict w14:anchorId="5C542F56">
        <v:shape id="_x0000_s2074" type="#_x0000_t75" style="position:absolute;left:0;text-align:left;margin-left:0;margin-top:0;width:50pt;height:50pt;z-index:251657216;visibility:hidden;mso-position-horizontal-relative:text;mso-position-vertical-relative:text">
          <v:path gradientshapeok="f"/>
          <o:lock v:ext="edit" selection="t"/>
        </v:shape>
      </w:pict>
    </w:r>
    <w:r w:rsidR="0097129E">
      <w:pict w14:anchorId="24A8DF12">
        <v:shape id="_x0000_s2073" type="#_x0000_t75" style="position:absolute;left:0;text-align:left;margin-left:0;margin-top:0;width:50pt;height:50pt;z-index:251658240;visibility:hidden;mso-position-horizontal-relative:text;mso-position-vertical-relative:text">
          <v:path gradientshapeok="f"/>
          <o:lock v:ext="edit" selection="t"/>
        </v:shape>
      </w:pict>
    </w:r>
    <w:r w:rsidR="0097129E">
      <w:pict w14:anchorId="7D826D6F">
        <v:shape id="_x0000_s2082" type="#_x0000_t75" style="position:absolute;left:0;text-align:left;margin-left:0;margin-top:0;width:50pt;height:50pt;z-index:251651072;visibility:hidden;mso-position-horizontal-relative:text;mso-position-vertical-relative:text">
          <v:path gradientshapeok="f"/>
          <o:lock v:ext="edit" selection="t"/>
        </v:shape>
      </w:pict>
    </w:r>
    <w:r w:rsidR="0097129E">
      <w:pict w14:anchorId="0FAD287F">
        <v:shape id="_x0000_s2081" type="#_x0000_t75" style="position:absolute;left:0;text-align:left;margin-left:0;margin-top:0;width:50pt;height:50pt;z-index:251652096;visibility:hidden;mso-position-horizontal-relative:text;mso-position-vertical-relative:text">
          <v:path gradientshapeok="f"/>
          <o:lock v:ext="edit" selection="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FBAA7" w14:textId="77777777" w:rsidR="003E5D1B" w:rsidRDefault="0097129E">
    <w:pPr>
      <w:pStyle w:val="Header"/>
      <w:spacing w:after="0"/>
    </w:pPr>
    <w:r>
      <w:rPr>
        <w:noProof/>
      </w:rPr>
      <w:pict w14:anchorId="00F75C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left:0;text-align:left;margin-left:0;margin-top:0;width:50pt;height:50pt;z-index:251663360;visibility:hidden;mso-wrap-edited:f;mso-width-percent:0;mso-height-percent:0;mso-width-percent:0;mso-height-percent:0">
          <v:path gradientshapeok="f"/>
          <o:lock v:ext="edit" selection="t"/>
        </v:shape>
      </w:pict>
    </w:r>
    <w:r>
      <w:pict w14:anchorId="2CA9C483">
        <v:shape id="_x0000_s2068" type="#_x0000_t75" style="position:absolute;left:0;text-align:left;margin-left:0;margin-top:0;width:50pt;height:50pt;z-index:251659264;visibility:hidden">
          <v:path gradientshapeok="f"/>
          <o:lock v:ext="edit" selection="t"/>
        </v:shape>
      </w:pict>
    </w:r>
    <w:r>
      <w:pict w14:anchorId="07E4B3A1">
        <v:shape id="_x0000_s2067" type="#_x0000_t75" style="position:absolute;left:0;text-align:left;margin-left:0;margin-top:0;width:50pt;height:50pt;z-index:251660288;visibility:hidden">
          <v:path gradientshapeok="f"/>
          <o:lock v:ext="edit" selection="t"/>
        </v:shape>
      </w:pict>
    </w:r>
    <w:r>
      <w:pict w14:anchorId="6BCBE4E4">
        <v:shape id="_x0000_s2080" type="#_x0000_t75" style="position:absolute;left:0;text-align:left;margin-left:0;margin-top:0;width:50pt;height:50pt;z-index:251653120;visibility:hidden">
          <v:path gradientshapeok="f"/>
          <o:lock v:ext="edit" selection="t"/>
        </v:shape>
      </w:pict>
    </w:r>
    <w:r>
      <w:pict w14:anchorId="0818E645">
        <v:shape id="_x0000_s2079" type="#_x0000_t75" style="position:absolute;left:0;text-align:left;margin-left:0;margin-top:0;width:50pt;height:50pt;z-index:251654144;visibility:hidden">
          <v:path gradientshapeok="f"/>
          <o:lock v:ext="edit" selection="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81173"/>
    <w:multiLevelType w:val="hybridMultilevel"/>
    <w:tmpl w:val="185283C4"/>
    <w:lvl w:ilvl="0" w:tplc="680C1E0C">
      <w:start w:val="1"/>
      <w:numFmt w:val="bullet"/>
      <w:lvlText w:val="-"/>
      <w:lvlJc w:val="left"/>
      <w:pPr>
        <w:ind w:left="1200" w:hanging="360"/>
      </w:pPr>
      <w:rPr>
        <w:rFonts w:ascii="Courier New" w:hAnsi="Courier New"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1" w15:restartNumberingAfterBreak="0">
    <w:nsid w:val="0323098C"/>
    <w:multiLevelType w:val="hybridMultilevel"/>
    <w:tmpl w:val="BEF41EAE"/>
    <w:lvl w:ilvl="0" w:tplc="680C1E0C">
      <w:start w:val="1"/>
      <w:numFmt w:val="bullet"/>
      <w:lvlText w:val="-"/>
      <w:lvlJc w:val="left"/>
      <w:pPr>
        <w:ind w:left="1200" w:hanging="360"/>
      </w:pPr>
      <w:rPr>
        <w:rFonts w:ascii="Courier New" w:hAnsi="Courier New"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2" w15:restartNumberingAfterBreak="0">
    <w:nsid w:val="05A6711E"/>
    <w:multiLevelType w:val="hybridMultilevel"/>
    <w:tmpl w:val="316A15C4"/>
    <w:lvl w:ilvl="0" w:tplc="580A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15:restartNumberingAfterBreak="0">
    <w:nsid w:val="06133979"/>
    <w:multiLevelType w:val="hybridMultilevel"/>
    <w:tmpl w:val="0D8E6D32"/>
    <w:lvl w:ilvl="0" w:tplc="680C1E0C">
      <w:start w:val="1"/>
      <w:numFmt w:val="bullet"/>
      <w:lvlText w:val="-"/>
      <w:lvlJc w:val="left"/>
      <w:pPr>
        <w:ind w:left="1200" w:hanging="360"/>
      </w:pPr>
      <w:rPr>
        <w:rFonts w:ascii="Courier New" w:hAnsi="Courier New"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4" w15:restartNumberingAfterBreak="0">
    <w:nsid w:val="062A1E7D"/>
    <w:multiLevelType w:val="hybridMultilevel"/>
    <w:tmpl w:val="C2D86EE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069B137F"/>
    <w:multiLevelType w:val="hybridMultilevel"/>
    <w:tmpl w:val="703E7D2C"/>
    <w:lvl w:ilvl="0" w:tplc="27647C6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E97F5A"/>
    <w:multiLevelType w:val="hybridMultilevel"/>
    <w:tmpl w:val="E9C60BFA"/>
    <w:lvl w:ilvl="0" w:tplc="680C1E0C">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034757"/>
    <w:multiLevelType w:val="hybridMultilevel"/>
    <w:tmpl w:val="4F8AE826"/>
    <w:lvl w:ilvl="0" w:tplc="680C1E0C">
      <w:start w:val="1"/>
      <w:numFmt w:val="bullet"/>
      <w:lvlText w:val="-"/>
      <w:lvlJc w:val="left"/>
      <w:pPr>
        <w:ind w:left="1200" w:hanging="360"/>
      </w:pPr>
      <w:rPr>
        <w:rFonts w:ascii="Courier New" w:hAnsi="Courier New"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8" w15:restartNumberingAfterBreak="0">
    <w:nsid w:val="12AF0524"/>
    <w:multiLevelType w:val="hybridMultilevel"/>
    <w:tmpl w:val="E81E5B2A"/>
    <w:lvl w:ilvl="0" w:tplc="680C1E0C">
      <w:start w:val="1"/>
      <w:numFmt w:val="bullet"/>
      <w:lvlText w:val="-"/>
      <w:lvlJc w:val="left"/>
      <w:pPr>
        <w:ind w:left="1200" w:hanging="360"/>
      </w:pPr>
      <w:rPr>
        <w:rFonts w:ascii="Courier New" w:hAnsi="Courier New"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9" w15:restartNumberingAfterBreak="0">
    <w:nsid w:val="145B0AA9"/>
    <w:multiLevelType w:val="hybridMultilevel"/>
    <w:tmpl w:val="0F8EF796"/>
    <w:lvl w:ilvl="0" w:tplc="013CA944">
      <w:start w:val="1"/>
      <w:numFmt w:val="bullet"/>
      <w:lvlText w:val="-"/>
      <w:lvlJc w:val="left"/>
      <w:pPr>
        <w:ind w:left="720" w:hanging="360"/>
      </w:pPr>
      <w:rPr>
        <w:rFonts w:ascii="Symbol" w:hAnsi="Symbol" w:hint="default"/>
      </w:rPr>
    </w:lvl>
    <w:lvl w:ilvl="1" w:tplc="4698C900">
      <w:start w:val="1"/>
      <w:numFmt w:val="bullet"/>
      <w:lvlText w:val="o"/>
      <w:lvlJc w:val="left"/>
      <w:pPr>
        <w:ind w:left="1440" w:hanging="360"/>
      </w:pPr>
      <w:rPr>
        <w:rFonts w:ascii="Courier New" w:hAnsi="Courier New" w:hint="default"/>
      </w:rPr>
    </w:lvl>
    <w:lvl w:ilvl="2" w:tplc="AADC41A4">
      <w:start w:val="1"/>
      <w:numFmt w:val="bullet"/>
      <w:lvlText w:val=""/>
      <w:lvlJc w:val="left"/>
      <w:pPr>
        <w:ind w:left="2160" w:hanging="360"/>
      </w:pPr>
      <w:rPr>
        <w:rFonts w:ascii="Wingdings" w:hAnsi="Wingdings" w:hint="default"/>
      </w:rPr>
    </w:lvl>
    <w:lvl w:ilvl="3" w:tplc="ACC8DF84">
      <w:start w:val="1"/>
      <w:numFmt w:val="bullet"/>
      <w:lvlText w:val=""/>
      <w:lvlJc w:val="left"/>
      <w:pPr>
        <w:ind w:left="2880" w:hanging="360"/>
      </w:pPr>
      <w:rPr>
        <w:rFonts w:ascii="Symbol" w:hAnsi="Symbol" w:hint="default"/>
      </w:rPr>
    </w:lvl>
    <w:lvl w:ilvl="4" w:tplc="6652B91C">
      <w:start w:val="1"/>
      <w:numFmt w:val="bullet"/>
      <w:lvlText w:val="o"/>
      <w:lvlJc w:val="left"/>
      <w:pPr>
        <w:ind w:left="3600" w:hanging="360"/>
      </w:pPr>
      <w:rPr>
        <w:rFonts w:ascii="Courier New" w:hAnsi="Courier New" w:hint="default"/>
      </w:rPr>
    </w:lvl>
    <w:lvl w:ilvl="5" w:tplc="00343542">
      <w:start w:val="1"/>
      <w:numFmt w:val="bullet"/>
      <w:lvlText w:val=""/>
      <w:lvlJc w:val="left"/>
      <w:pPr>
        <w:ind w:left="4320" w:hanging="360"/>
      </w:pPr>
      <w:rPr>
        <w:rFonts w:ascii="Wingdings" w:hAnsi="Wingdings" w:hint="default"/>
      </w:rPr>
    </w:lvl>
    <w:lvl w:ilvl="6" w:tplc="70D28210">
      <w:start w:val="1"/>
      <w:numFmt w:val="bullet"/>
      <w:lvlText w:val=""/>
      <w:lvlJc w:val="left"/>
      <w:pPr>
        <w:ind w:left="5040" w:hanging="360"/>
      </w:pPr>
      <w:rPr>
        <w:rFonts w:ascii="Symbol" w:hAnsi="Symbol" w:hint="default"/>
      </w:rPr>
    </w:lvl>
    <w:lvl w:ilvl="7" w:tplc="39608870">
      <w:start w:val="1"/>
      <w:numFmt w:val="bullet"/>
      <w:lvlText w:val="o"/>
      <w:lvlJc w:val="left"/>
      <w:pPr>
        <w:ind w:left="5760" w:hanging="360"/>
      </w:pPr>
      <w:rPr>
        <w:rFonts w:ascii="Courier New" w:hAnsi="Courier New" w:hint="default"/>
      </w:rPr>
    </w:lvl>
    <w:lvl w:ilvl="8" w:tplc="BF1C21D0">
      <w:start w:val="1"/>
      <w:numFmt w:val="bullet"/>
      <w:lvlText w:val=""/>
      <w:lvlJc w:val="left"/>
      <w:pPr>
        <w:ind w:left="6480" w:hanging="360"/>
      </w:pPr>
      <w:rPr>
        <w:rFonts w:ascii="Wingdings" w:hAnsi="Wingdings" w:hint="default"/>
      </w:rPr>
    </w:lvl>
  </w:abstractNum>
  <w:abstractNum w:abstractNumId="10" w15:restartNumberingAfterBreak="0">
    <w:nsid w:val="17B957AD"/>
    <w:multiLevelType w:val="hybridMultilevel"/>
    <w:tmpl w:val="730C19B2"/>
    <w:lvl w:ilvl="0" w:tplc="C7CC9A78">
      <w:start w:val="2"/>
      <w:numFmt w:val="bullet"/>
      <w:lvlText w:val="-"/>
      <w:lvlJc w:val="left"/>
      <w:pPr>
        <w:ind w:left="720" w:hanging="360"/>
      </w:pPr>
      <w:rPr>
        <w:rFonts w:ascii="Verdana" w:eastAsiaTheme="minorHAnsi" w:hAnsi="Verdana" w:cstheme="maj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8070425"/>
    <w:multiLevelType w:val="hybridMultilevel"/>
    <w:tmpl w:val="5930D950"/>
    <w:lvl w:ilvl="0" w:tplc="680C1E0C">
      <w:start w:val="1"/>
      <w:numFmt w:val="bullet"/>
      <w:lvlText w:val="-"/>
      <w:lvlJc w:val="left"/>
      <w:pPr>
        <w:ind w:left="1200" w:hanging="360"/>
      </w:pPr>
      <w:rPr>
        <w:rFonts w:ascii="Courier New" w:hAnsi="Courier New"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12" w15:restartNumberingAfterBreak="0">
    <w:nsid w:val="182E4E86"/>
    <w:multiLevelType w:val="hybridMultilevel"/>
    <w:tmpl w:val="802C99DA"/>
    <w:lvl w:ilvl="0" w:tplc="FC7EF14A">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3" w15:restartNumberingAfterBreak="0">
    <w:nsid w:val="19EC3BB9"/>
    <w:multiLevelType w:val="hybridMultilevel"/>
    <w:tmpl w:val="D17612F2"/>
    <w:lvl w:ilvl="0" w:tplc="680C1E0C">
      <w:start w:val="1"/>
      <w:numFmt w:val="bullet"/>
      <w:lvlText w:val="-"/>
      <w:lvlJc w:val="left"/>
      <w:pPr>
        <w:ind w:left="1200" w:hanging="360"/>
      </w:pPr>
      <w:rPr>
        <w:rFonts w:ascii="Courier New" w:hAnsi="Courier New"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14" w15:restartNumberingAfterBreak="0">
    <w:nsid w:val="214C2BDB"/>
    <w:multiLevelType w:val="hybridMultilevel"/>
    <w:tmpl w:val="921E1DBE"/>
    <w:lvl w:ilvl="0" w:tplc="08160017">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23106791"/>
    <w:multiLevelType w:val="hybridMultilevel"/>
    <w:tmpl w:val="E3E21364"/>
    <w:lvl w:ilvl="0" w:tplc="FC7EF14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478493A"/>
    <w:multiLevelType w:val="hybridMultilevel"/>
    <w:tmpl w:val="12B27790"/>
    <w:lvl w:ilvl="0" w:tplc="680C1E0C">
      <w:start w:val="1"/>
      <w:numFmt w:val="bullet"/>
      <w:lvlText w:val="-"/>
      <w:lvlJc w:val="left"/>
      <w:pPr>
        <w:ind w:left="1200" w:hanging="360"/>
      </w:pPr>
      <w:rPr>
        <w:rFonts w:ascii="Courier New" w:hAnsi="Courier New"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17" w15:restartNumberingAfterBreak="0">
    <w:nsid w:val="24E93DC2"/>
    <w:multiLevelType w:val="hybridMultilevel"/>
    <w:tmpl w:val="ED86CF16"/>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8" w15:restartNumberingAfterBreak="0">
    <w:nsid w:val="26066935"/>
    <w:multiLevelType w:val="hybridMultilevel"/>
    <w:tmpl w:val="BDF62ADC"/>
    <w:lvl w:ilvl="0" w:tplc="680C1E0C">
      <w:start w:val="1"/>
      <w:numFmt w:val="bullet"/>
      <w:lvlText w:val="-"/>
      <w:lvlJc w:val="left"/>
      <w:pPr>
        <w:ind w:left="1200" w:hanging="360"/>
      </w:pPr>
      <w:rPr>
        <w:rFonts w:ascii="Courier New" w:hAnsi="Courier New"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19" w15:restartNumberingAfterBreak="0">
    <w:nsid w:val="284D58F1"/>
    <w:multiLevelType w:val="hybridMultilevel"/>
    <w:tmpl w:val="B0C871CA"/>
    <w:lvl w:ilvl="0" w:tplc="680C1E0C">
      <w:start w:val="1"/>
      <w:numFmt w:val="bullet"/>
      <w:lvlText w:val="-"/>
      <w:lvlJc w:val="left"/>
      <w:pPr>
        <w:ind w:left="1200" w:hanging="360"/>
      </w:pPr>
      <w:rPr>
        <w:rFonts w:ascii="Courier New" w:hAnsi="Courier New"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20" w15:restartNumberingAfterBreak="0">
    <w:nsid w:val="28E675EE"/>
    <w:multiLevelType w:val="hybridMultilevel"/>
    <w:tmpl w:val="FFFFFFFF"/>
    <w:lvl w:ilvl="0" w:tplc="6D0CF040">
      <w:start w:val="1"/>
      <w:numFmt w:val="bullet"/>
      <w:lvlText w:val="-"/>
      <w:lvlJc w:val="left"/>
      <w:pPr>
        <w:ind w:left="720" w:hanging="360"/>
      </w:pPr>
      <w:rPr>
        <w:rFonts w:ascii="Symbol" w:hAnsi="Symbol" w:hint="default"/>
      </w:rPr>
    </w:lvl>
    <w:lvl w:ilvl="1" w:tplc="8CC83D52">
      <w:start w:val="1"/>
      <w:numFmt w:val="bullet"/>
      <w:lvlText w:val="o"/>
      <w:lvlJc w:val="left"/>
      <w:pPr>
        <w:ind w:left="1440" w:hanging="360"/>
      </w:pPr>
      <w:rPr>
        <w:rFonts w:ascii="Courier New" w:hAnsi="Courier New" w:hint="default"/>
      </w:rPr>
    </w:lvl>
    <w:lvl w:ilvl="2" w:tplc="F9AA7D64">
      <w:start w:val="1"/>
      <w:numFmt w:val="bullet"/>
      <w:lvlText w:val=""/>
      <w:lvlJc w:val="left"/>
      <w:pPr>
        <w:ind w:left="2160" w:hanging="360"/>
      </w:pPr>
      <w:rPr>
        <w:rFonts w:ascii="Wingdings" w:hAnsi="Wingdings" w:hint="default"/>
      </w:rPr>
    </w:lvl>
    <w:lvl w:ilvl="3" w:tplc="F600FB6A">
      <w:start w:val="1"/>
      <w:numFmt w:val="bullet"/>
      <w:lvlText w:val=""/>
      <w:lvlJc w:val="left"/>
      <w:pPr>
        <w:ind w:left="2880" w:hanging="360"/>
      </w:pPr>
      <w:rPr>
        <w:rFonts w:ascii="Symbol" w:hAnsi="Symbol" w:hint="default"/>
      </w:rPr>
    </w:lvl>
    <w:lvl w:ilvl="4" w:tplc="9A14797E">
      <w:start w:val="1"/>
      <w:numFmt w:val="bullet"/>
      <w:lvlText w:val="o"/>
      <w:lvlJc w:val="left"/>
      <w:pPr>
        <w:ind w:left="3600" w:hanging="360"/>
      </w:pPr>
      <w:rPr>
        <w:rFonts w:ascii="Courier New" w:hAnsi="Courier New" w:hint="default"/>
      </w:rPr>
    </w:lvl>
    <w:lvl w:ilvl="5" w:tplc="65CC9BB6">
      <w:start w:val="1"/>
      <w:numFmt w:val="bullet"/>
      <w:lvlText w:val=""/>
      <w:lvlJc w:val="left"/>
      <w:pPr>
        <w:ind w:left="4320" w:hanging="360"/>
      </w:pPr>
      <w:rPr>
        <w:rFonts w:ascii="Wingdings" w:hAnsi="Wingdings" w:hint="default"/>
      </w:rPr>
    </w:lvl>
    <w:lvl w:ilvl="6" w:tplc="FF9CBB56">
      <w:start w:val="1"/>
      <w:numFmt w:val="bullet"/>
      <w:lvlText w:val=""/>
      <w:lvlJc w:val="left"/>
      <w:pPr>
        <w:ind w:left="5040" w:hanging="360"/>
      </w:pPr>
      <w:rPr>
        <w:rFonts w:ascii="Symbol" w:hAnsi="Symbol" w:hint="default"/>
      </w:rPr>
    </w:lvl>
    <w:lvl w:ilvl="7" w:tplc="58CAB84E">
      <w:start w:val="1"/>
      <w:numFmt w:val="bullet"/>
      <w:lvlText w:val="o"/>
      <w:lvlJc w:val="left"/>
      <w:pPr>
        <w:ind w:left="5760" w:hanging="360"/>
      </w:pPr>
      <w:rPr>
        <w:rFonts w:ascii="Courier New" w:hAnsi="Courier New" w:hint="default"/>
      </w:rPr>
    </w:lvl>
    <w:lvl w:ilvl="8" w:tplc="0A7472A2">
      <w:start w:val="1"/>
      <w:numFmt w:val="bullet"/>
      <w:lvlText w:val=""/>
      <w:lvlJc w:val="left"/>
      <w:pPr>
        <w:ind w:left="6480" w:hanging="360"/>
      </w:pPr>
      <w:rPr>
        <w:rFonts w:ascii="Wingdings" w:hAnsi="Wingdings" w:hint="default"/>
      </w:rPr>
    </w:lvl>
  </w:abstractNum>
  <w:abstractNum w:abstractNumId="21" w15:restartNumberingAfterBreak="0">
    <w:nsid w:val="2B703486"/>
    <w:multiLevelType w:val="hybridMultilevel"/>
    <w:tmpl w:val="525AC6A4"/>
    <w:lvl w:ilvl="0" w:tplc="680C1E0C">
      <w:start w:val="1"/>
      <w:numFmt w:val="bullet"/>
      <w:lvlText w:val="-"/>
      <w:lvlJc w:val="left"/>
      <w:pPr>
        <w:ind w:left="2250" w:hanging="360"/>
      </w:pPr>
      <w:rPr>
        <w:rFonts w:ascii="Courier New" w:hAnsi="Courier New"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2" w15:restartNumberingAfterBreak="0">
    <w:nsid w:val="2CDD55AF"/>
    <w:multiLevelType w:val="hybridMultilevel"/>
    <w:tmpl w:val="DD70AD94"/>
    <w:lvl w:ilvl="0" w:tplc="680C1E0C">
      <w:start w:val="1"/>
      <w:numFmt w:val="bullet"/>
      <w:lvlText w:val="-"/>
      <w:lvlJc w:val="left"/>
      <w:pPr>
        <w:ind w:left="1200" w:hanging="360"/>
      </w:pPr>
      <w:rPr>
        <w:rFonts w:ascii="Courier New" w:hAnsi="Courier New"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23" w15:restartNumberingAfterBreak="0">
    <w:nsid w:val="2D0B4B30"/>
    <w:multiLevelType w:val="hybridMultilevel"/>
    <w:tmpl w:val="625831A8"/>
    <w:lvl w:ilvl="0" w:tplc="680C1E0C">
      <w:start w:val="1"/>
      <w:numFmt w:val="bullet"/>
      <w:lvlText w:val="-"/>
      <w:lvlJc w:val="left"/>
      <w:pPr>
        <w:ind w:left="1200" w:hanging="360"/>
      </w:pPr>
      <w:rPr>
        <w:rFonts w:ascii="Courier New" w:hAnsi="Courier New"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24" w15:restartNumberingAfterBreak="0">
    <w:nsid w:val="2E55306B"/>
    <w:multiLevelType w:val="hybridMultilevel"/>
    <w:tmpl w:val="A34282B4"/>
    <w:lvl w:ilvl="0" w:tplc="FC7EF14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EA10AA4"/>
    <w:multiLevelType w:val="hybridMultilevel"/>
    <w:tmpl w:val="A926B1BC"/>
    <w:lvl w:ilvl="0" w:tplc="680C1E0C">
      <w:start w:val="1"/>
      <w:numFmt w:val="bullet"/>
      <w:lvlText w:val="-"/>
      <w:lvlJc w:val="left"/>
      <w:pPr>
        <w:ind w:left="1200" w:hanging="360"/>
      </w:pPr>
      <w:rPr>
        <w:rFonts w:ascii="Courier New" w:hAnsi="Courier New"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26" w15:restartNumberingAfterBreak="0">
    <w:nsid w:val="30D93DD5"/>
    <w:multiLevelType w:val="hybridMultilevel"/>
    <w:tmpl w:val="BEDE02CC"/>
    <w:lvl w:ilvl="0" w:tplc="680C1E0C">
      <w:start w:val="1"/>
      <w:numFmt w:val="bullet"/>
      <w:lvlText w:val="-"/>
      <w:lvlJc w:val="left"/>
      <w:pPr>
        <w:ind w:left="1200" w:hanging="360"/>
      </w:pPr>
      <w:rPr>
        <w:rFonts w:ascii="Courier New" w:hAnsi="Courier New"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27" w15:restartNumberingAfterBreak="0">
    <w:nsid w:val="36B91BD0"/>
    <w:multiLevelType w:val="hybridMultilevel"/>
    <w:tmpl w:val="9DE4D52A"/>
    <w:lvl w:ilvl="0" w:tplc="580A0017">
      <w:start w:val="1"/>
      <w:numFmt w:val="lowerLetter"/>
      <w:lvlText w:val="%1)"/>
      <w:lvlJc w:val="left"/>
      <w:pPr>
        <w:ind w:left="1200" w:hanging="360"/>
      </w:pPr>
      <w:rPr>
        <w:rFonts w:hint="default"/>
      </w:rPr>
    </w:lvl>
    <w:lvl w:ilvl="1" w:tplc="08090019" w:tentative="1">
      <w:start w:val="1"/>
      <w:numFmt w:val="lowerLetter"/>
      <w:lvlText w:val="%2."/>
      <w:lvlJc w:val="left"/>
      <w:pPr>
        <w:ind w:left="1920" w:hanging="360"/>
      </w:pPr>
    </w:lvl>
    <w:lvl w:ilvl="2" w:tplc="0809001B" w:tentative="1">
      <w:start w:val="1"/>
      <w:numFmt w:val="lowerRoman"/>
      <w:lvlText w:val="%3."/>
      <w:lvlJc w:val="right"/>
      <w:pPr>
        <w:ind w:left="2640" w:hanging="180"/>
      </w:pPr>
    </w:lvl>
    <w:lvl w:ilvl="3" w:tplc="0809000F" w:tentative="1">
      <w:start w:val="1"/>
      <w:numFmt w:val="decimal"/>
      <w:lvlText w:val="%4."/>
      <w:lvlJc w:val="left"/>
      <w:pPr>
        <w:ind w:left="3360" w:hanging="360"/>
      </w:pPr>
    </w:lvl>
    <w:lvl w:ilvl="4" w:tplc="08090019" w:tentative="1">
      <w:start w:val="1"/>
      <w:numFmt w:val="lowerLetter"/>
      <w:lvlText w:val="%5."/>
      <w:lvlJc w:val="left"/>
      <w:pPr>
        <w:ind w:left="4080" w:hanging="360"/>
      </w:pPr>
    </w:lvl>
    <w:lvl w:ilvl="5" w:tplc="0809001B" w:tentative="1">
      <w:start w:val="1"/>
      <w:numFmt w:val="lowerRoman"/>
      <w:lvlText w:val="%6."/>
      <w:lvlJc w:val="right"/>
      <w:pPr>
        <w:ind w:left="4800" w:hanging="180"/>
      </w:pPr>
    </w:lvl>
    <w:lvl w:ilvl="6" w:tplc="0809000F" w:tentative="1">
      <w:start w:val="1"/>
      <w:numFmt w:val="decimal"/>
      <w:lvlText w:val="%7."/>
      <w:lvlJc w:val="left"/>
      <w:pPr>
        <w:ind w:left="5520" w:hanging="360"/>
      </w:pPr>
    </w:lvl>
    <w:lvl w:ilvl="7" w:tplc="08090019" w:tentative="1">
      <w:start w:val="1"/>
      <w:numFmt w:val="lowerLetter"/>
      <w:lvlText w:val="%8."/>
      <w:lvlJc w:val="left"/>
      <w:pPr>
        <w:ind w:left="6240" w:hanging="360"/>
      </w:pPr>
    </w:lvl>
    <w:lvl w:ilvl="8" w:tplc="0809001B" w:tentative="1">
      <w:start w:val="1"/>
      <w:numFmt w:val="lowerRoman"/>
      <w:lvlText w:val="%9."/>
      <w:lvlJc w:val="right"/>
      <w:pPr>
        <w:ind w:left="6960" w:hanging="180"/>
      </w:pPr>
    </w:lvl>
  </w:abstractNum>
  <w:abstractNum w:abstractNumId="28" w15:restartNumberingAfterBreak="0">
    <w:nsid w:val="39246388"/>
    <w:multiLevelType w:val="hybridMultilevel"/>
    <w:tmpl w:val="4B2EA736"/>
    <w:lvl w:ilvl="0" w:tplc="680C1E0C">
      <w:start w:val="1"/>
      <w:numFmt w:val="bullet"/>
      <w:lvlText w:val="-"/>
      <w:lvlJc w:val="left"/>
      <w:pPr>
        <w:ind w:left="1200" w:hanging="360"/>
      </w:pPr>
      <w:rPr>
        <w:rFonts w:ascii="Courier New" w:hAnsi="Courier New"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29" w15:restartNumberingAfterBreak="0">
    <w:nsid w:val="3A8A0A0D"/>
    <w:multiLevelType w:val="hybridMultilevel"/>
    <w:tmpl w:val="AB440334"/>
    <w:lvl w:ilvl="0" w:tplc="5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0" w15:restartNumberingAfterBreak="0">
    <w:nsid w:val="3C5F4066"/>
    <w:multiLevelType w:val="hybridMultilevel"/>
    <w:tmpl w:val="70BC6AE8"/>
    <w:lvl w:ilvl="0" w:tplc="680C1E0C">
      <w:start w:val="1"/>
      <w:numFmt w:val="bullet"/>
      <w:lvlText w:val="-"/>
      <w:lvlJc w:val="left"/>
      <w:pPr>
        <w:ind w:left="1200" w:hanging="360"/>
      </w:pPr>
      <w:rPr>
        <w:rFonts w:ascii="Courier New" w:hAnsi="Courier New"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31" w15:restartNumberingAfterBreak="0">
    <w:nsid w:val="3C9FFCEC"/>
    <w:multiLevelType w:val="hybridMultilevel"/>
    <w:tmpl w:val="1352917E"/>
    <w:lvl w:ilvl="0" w:tplc="FC7EF14A">
      <w:start w:val="1"/>
      <w:numFmt w:val="bullet"/>
      <w:lvlText w:val="-"/>
      <w:lvlJc w:val="left"/>
      <w:pPr>
        <w:ind w:left="720" w:hanging="360"/>
      </w:pPr>
      <w:rPr>
        <w:rFonts w:ascii="Symbol" w:hAnsi="Symbol" w:hint="default"/>
      </w:rPr>
    </w:lvl>
    <w:lvl w:ilvl="1" w:tplc="5776D868">
      <w:start w:val="1"/>
      <w:numFmt w:val="bullet"/>
      <w:lvlText w:val="o"/>
      <w:lvlJc w:val="left"/>
      <w:pPr>
        <w:ind w:left="1440" w:hanging="360"/>
      </w:pPr>
      <w:rPr>
        <w:rFonts w:ascii="Courier New" w:hAnsi="Courier New" w:hint="default"/>
      </w:rPr>
    </w:lvl>
    <w:lvl w:ilvl="2" w:tplc="9D160502">
      <w:start w:val="1"/>
      <w:numFmt w:val="bullet"/>
      <w:lvlText w:val=""/>
      <w:lvlJc w:val="left"/>
      <w:pPr>
        <w:ind w:left="2160" w:hanging="360"/>
      </w:pPr>
      <w:rPr>
        <w:rFonts w:ascii="Wingdings" w:hAnsi="Wingdings" w:hint="default"/>
      </w:rPr>
    </w:lvl>
    <w:lvl w:ilvl="3" w:tplc="6D34DDE2">
      <w:start w:val="1"/>
      <w:numFmt w:val="bullet"/>
      <w:lvlText w:val=""/>
      <w:lvlJc w:val="left"/>
      <w:pPr>
        <w:ind w:left="2880" w:hanging="360"/>
      </w:pPr>
      <w:rPr>
        <w:rFonts w:ascii="Symbol" w:hAnsi="Symbol" w:hint="default"/>
      </w:rPr>
    </w:lvl>
    <w:lvl w:ilvl="4" w:tplc="DDE8C294">
      <w:start w:val="1"/>
      <w:numFmt w:val="bullet"/>
      <w:lvlText w:val="o"/>
      <w:lvlJc w:val="left"/>
      <w:pPr>
        <w:ind w:left="3600" w:hanging="360"/>
      </w:pPr>
      <w:rPr>
        <w:rFonts w:ascii="Courier New" w:hAnsi="Courier New" w:hint="default"/>
      </w:rPr>
    </w:lvl>
    <w:lvl w:ilvl="5" w:tplc="60A8A258">
      <w:start w:val="1"/>
      <w:numFmt w:val="bullet"/>
      <w:lvlText w:val=""/>
      <w:lvlJc w:val="left"/>
      <w:pPr>
        <w:ind w:left="4320" w:hanging="360"/>
      </w:pPr>
      <w:rPr>
        <w:rFonts w:ascii="Wingdings" w:hAnsi="Wingdings" w:hint="default"/>
      </w:rPr>
    </w:lvl>
    <w:lvl w:ilvl="6" w:tplc="B98A56A2">
      <w:start w:val="1"/>
      <w:numFmt w:val="bullet"/>
      <w:lvlText w:val=""/>
      <w:lvlJc w:val="left"/>
      <w:pPr>
        <w:ind w:left="5040" w:hanging="360"/>
      </w:pPr>
      <w:rPr>
        <w:rFonts w:ascii="Symbol" w:hAnsi="Symbol" w:hint="default"/>
      </w:rPr>
    </w:lvl>
    <w:lvl w:ilvl="7" w:tplc="17822400">
      <w:start w:val="1"/>
      <w:numFmt w:val="bullet"/>
      <w:lvlText w:val="o"/>
      <w:lvlJc w:val="left"/>
      <w:pPr>
        <w:ind w:left="5760" w:hanging="360"/>
      </w:pPr>
      <w:rPr>
        <w:rFonts w:ascii="Courier New" w:hAnsi="Courier New" w:hint="default"/>
      </w:rPr>
    </w:lvl>
    <w:lvl w:ilvl="8" w:tplc="80DCE6CE">
      <w:start w:val="1"/>
      <w:numFmt w:val="bullet"/>
      <w:lvlText w:val=""/>
      <w:lvlJc w:val="left"/>
      <w:pPr>
        <w:ind w:left="6480" w:hanging="360"/>
      </w:pPr>
      <w:rPr>
        <w:rFonts w:ascii="Wingdings" w:hAnsi="Wingdings" w:hint="default"/>
      </w:rPr>
    </w:lvl>
  </w:abstractNum>
  <w:abstractNum w:abstractNumId="32" w15:restartNumberingAfterBreak="0">
    <w:nsid w:val="44221318"/>
    <w:multiLevelType w:val="hybridMultilevel"/>
    <w:tmpl w:val="76529E6E"/>
    <w:lvl w:ilvl="0" w:tplc="580A0017">
      <w:start w:val="1"/>
      <w:numFmt w:val="lowerLetter"/>
      <w:lvlText w:val="%1)"/>
      <w:lvlJc w:val="left"/>
      <w:pPr>
        <w:ind w:left="1200" w:hanging="360"/>
      </w:pPr>
      <w:rPr>
        <w:rFonts w:hint="default"/>
      </w:rPr>
    </w:lvl>
    <w:lvl w:ilvl="1" w:tplc="08090019" w:tentative="1">
      <w:start w:val="1"/>
      <w:numFmt w:val="lowerLetter"/>
      <w:lvlText w:val="%2."/>
      <w:lvlJc w:val="left"/>
      <w:pPr>
        <w:ind w:left="1920" w:hanging="360"/>
      </w:pPr>
    </w:lvl>
    <w:lvl w:ilvl="2" w:tplc="0809001B" w:tentative="1">
      <w:start w:val="1"/>
      <w:numFmt w:val="lowerRoman"/>
      <w:lvlText w:val="%3."/>
      <w:lvlJc w:val="right"/>
      <w:pPr>
        <w:ind w:left="2640" w:hanging="180"/>
      </w:pPr>
    </w:lvl>
    <w:lvl w:ilvl="3" w:tplc="0809000F" w:tentative="1">
      <w:start w:val="1"/>
      <w:numFmt w:val="decimal"/>
      <w:lvlText w:val="%4."/>
      <w:lvlJc w:val="left"/>
      <w:pPr>
        <w:ind w:left="3360" w:hanging="360"/>
      </w:pPr>
    </w:lvl>
    <w:lvl w:ilvl="4" w:tplc="08090019" w:tentative="1">
      <w:start w:val="1"/>
      <w:numFmt w:val="lowerLetter"/>
      <w:lvlText w:val="%5."/>
      <w:lvlJc w:val="left"/>
      <w:pPr>
        <w:ind w:left="4080" w:hanging="360"/>
      </w:pPr>
    </w:lvl>
    <w:lvl w:ilvl="5" w:tplc="0809001B" w:tentative="1">
      <w:start w:val="1"/>
      <w:numFmt w:val="lowerRoman"/>
      <w:lvlText w:val="%6."/>
      <w:lvlJc w:val="right"/>
      <w:pPr>
        <w:ind w:left="4800" w:hanging="180"/>
      </w:pPr>
    </w:lvl>
    <w:lvl w:ilvl="6" w:tplc="0809000F" w:tentative="1">
      <w:start w:val="1"/>
      <w:numFmt w:val="decimal"/>
      <w:lvlText w:val="%7."/>
      <w:lvlJc w:val="left"/>
      <w:pPr>
        <w:ind w:left="5520" w:hanging="360"/>
      </w:pPr>
    </w:lvl>
    <w:lvl w:ilvl="7" w:tplc="08090019" w:tentative="1">
      <w:start w:val="1"/>
      <w:numFmt w:val="lowerLetter"/>
      <w:lvlText w:val="%8."/>
      <w:lvlJc w:val="left"/>
      <w:pPr>
        <w:ind w:left="6240" w:hanging="360"/>
      </w:pPr>
    </w:lvl>
    <w:lvl w:ilvl="8" w:tplc="0809001B" w:tentative="1">
      <w:start w:val="1"/>
      <w:numFmt w:val="lowerRoman"/>
      <w:lvlText w:val="%9."/>
      <w:lvlJc w:val="right"/>
      <w:pPr>
        <w:ind w:left="6960" w:hanging="180"/>
      </w:pPr>
    </w:lvl>
  </w:abstractNum>
  <w:abstractNum w:abstractNumId="33" w15:restartNumberingAfterBreak="0">
    <w:nsid w:val="465324F7"/>
    <w:multiLevelType w:val="hybridMultilevel"/>
    <w:tmpl w:val="96FCB8D4"/>
    <w:lvl w:ilvl="0" w:tplc="2D86BB7E">
      <w:start w:val="1"/>
      <w:numFmt w:val="lowerRoman"/>
      <w:lvlText w:val="%1)"/>
      <w:lvlJc w:val="left"/>
      <w:pPr>
        <w:ind w:left="720" w:hanging="360"/>
      </w:pPr>
      <w:rPr>
        <w:rFonts w:hint="default"/>
        <w:sz w:val="2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4" w15:restartNumberingAfterBreak="0">
    <w:nsid w:val="500A4B12"/>
    <w:multiLevelType w:val="hybridMultilevel"/>
    <w:tmpl w:val="80747CEC"/>
    <w:lvl w:ilvl="0" w:tplc="680C1E0C">
      <w:start w:val="1"/>
      <w:numFmt w:val="bullet"/>
      <w:lvlText w:val="-"/>
      <w:lvlJc w:val="left"/>
      <w:pPr>
        <w:ind w:left="1200" w:hanging="360"/>
      </w:pPr>
      <w:rPr>
        <w:rFonts w:ascii="Courier New" w:hAnsi="Courier New" w:hint="default"/>
      </w:rPr>
    </w:lvl>
    <w:lvl w:ilvl="1" w:tplc="580A0003" w:tentative="1">
      <w:start w:val="1"/>
      <w:numFmt w:val="bullet"/>
      <w:lvlText w:val="o"/>
      <w:lvlJc w:val="left"/>
      <w:pPr>
        <w:ind w:left="1920" w:hanging="360"/>
      </w:pPr>
      <w:rPr>
        <w:rFonts w:ascii="Courier New" w:hAnsi="Courier New" w:cs="Courier New" w:hint="default"/>
      </w:rPr>
    </w:lvl>
    <w:lvl w:ilvl="2" w:tplc="580A0005" w:tentative="1">
      <w:start w:val="1"/>
      <w:numFmt w:val="bullet"/>
      <w:lvlText w:val=""/>
      <w:lvlJc w:val="left"/>
      <w:pPr>
        <w:ind w:left="2640" w:hanging="360"/>
      </w:pPr>
      <w:rPr>
        <w:rFonts w:ascii="Wingdings" w:hAnsi="Wingdings" w:hint="default"/>
      </w:rPr>
    </w:lvl>
    <w:lvl w:ilvl="3" w:tplc="580A0001" w:tentative="1">
      <w:start w:val="1"/>
      <w:numFmt w:val="bullet"/>
      <w:lvlText w:val=""/>
      <w:lvlJc w:val="left"/>
      <w:pPr>
        <w:ind w:left="3360" w:hanging="360"/>
      </w:pPr>
      <w:rPr>
        <w:rFonts w:ascii="Symbol" w:hAnsi="Symbol" w:hint="default"/>
      </w:rPr>
    </w:lvl>
    <w:lvl w:ilvl="4" w:tplc="580A0003" w:tentative="1">
      <w:start w:val="1"/>
      <w:numFmt w:val="bullet"/>
      <w:lvlText w:val="o"/>
      <w:lvlJc w:val="left"/>
      <w:pPr>
        <w:ind w:left="4080" w:hanging="360"/>
      </w:pPr>
      <w:rPr>
        <w:rFonts w:ascii="Courier New" w:hAnsi="Courier New" w:cs="Courier New" w:hint="default"/>
      </w:rPr>
    </w:lvl>
    <w:lvl w:ilvl="5" w:tplc="580A0005" w:tentative="1">
      <w:start w:val="1"/>
      <w:numFmt w:val="bullet"/>
      <w:lvlText w:val=""/>
      <w:lvlJc w:val="left"/>
      <w:pPr>
        <w:ind w:left="4800" w:hanging="360"/>
      </w:pPr>
      <w:rPr>
        <w:rFonts w:ascii="Wingdings" w:hAnsi="Wingdings" w:hint="default"/>
      </w:rPr>
    </w:lvl>
    <w:lvl w:ilvl="6" w:tplc="580A0001" w:tentative="1">
      <w:start w:val="1"/>
      <w:numFmt w:val="bullet"/>
      <w:lvlText w:val=""/>
      <w:lvlJc w:val="left"/>
      <w:pPr>
        <w:ind w:left="5520" w:hanging="360"/>
      </w:pPr>
      <w:rPr>
        <w:rFonts w:ascii="Symbol" w:hAnsi="Symbol" w:hint="default"/>
      </w:rPr>
    </w:lvl>
    <w:lvl w:ilvl="7" w:tplc="580A0003" w:tentative="1">
      <w:start w:val="1"/>
      <w:numFmt w:val="bullet"/>
      <w:lvlText w:val="o"/>
      <w:lvlJc w:val="left"/>
      <w:pPr>
        <w:ind w:left="6240" w:hanging="360"/>
      </w:pPr>
      <w:rPr>
        <w:rFonts w:ascii="Courier New" w:hAnsi="Courier New" w:cs="Courier New" w:hint="default"/>
      </w:rPr>
    </w:lvl>
    <w:lvl w:ilvl="8" w:tplc="580A0005" w:tentative="1">
      <w:start w:val="1"/>
      <w:numFmt w:val="bullet"/>
      <w:lvlText w:val=""/>
      <w:lvlJc w:val="left"/>
      <w:pPr>
        <w:ind w:left="6960" w:hanging="360"/>
      </w:pPr>
      <w:rPr>
        <w:rFonts w:ascii="Wingdings" w:hAnsi="Wingdings" w:hint="default"/>
      </w:rPr>
    </w:lvl>
  </w:abstractNum>
  <w:abstractNum w:abstractNumId="35" w15:restartNumberingAfterBreak="0">
    <w:nsid w:val="5AA07CAE"/>
    <w:multiLevelType w:val="hybridMultilevel"/>
    <w:tmpl w:val="D438FE82"/>
    <w:lvl w:ilvl="0" w:tplc="FC7EF14A">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6" w15:restartNumberingAfterBreak="0">
    <w:nsid w:val="5DA1420A"/>
    <w:multiLevelType w:val="hybridMultilevel"/>
    <w:tmpl w:val="64267CC0"/>
    <w:lvl w:ilvl="0" w:tplc="680C1E0C">
      <w:start w:val="1"/>
      <w:numFmt w:val="bullet"/>
      <w:lvlText w:val="-"/>
      <w:lvlJc w:val="left"/>
      <w:pPr>
        <w:ind w:left="1200" w:hanging="360"/>
      </w:pPr>
      <w:rPr>
        <w:rFonts w:ascii="Courier New" w:hAnsi="Courier New"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37" w15:restartNumberingAfterBreak="0">
    <w:nsid w:val="5E3F665D"/>
    <w:multiLevelType w:val="hybridMultilevel"/>
    <w:tmpl w:val="C0F2836A"/>
    <w:lvl w:ilvl="0" w:tplc="580A0017">
      <w:start w:val="1"/>
      <w:numFmt w:val="lowerLetter"/>
      <w:lvlText w:val="%1)"/>
      <w:lvlJc w:val="left"/>
      <w:pPr>
        <w:ind w:left="360" w:hanging="360"/>
      </w:pPr>
      <w:rPr>
        <w:rFonts w:hint="default"/>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38" w15:restartNumberingAfterBreak="0">
    <w:nsid w:val="60125965"/>
    <w:multiLevelType w:val="hybridMultilevel"/>
    <w:tmpl w:val="9F6C9FE0"/>
    <w:lvl w:ilvl="0" w:tplc="08090001">
      <w:start w:val="1"/>
      <w:numFmt w:val="bullet"/>
      <w:lvlText w:val=""/>
      <w:lvlJc w:val="left"/>
      <w:pPr>
        <w:ind w:left="1320" w:hanging="360"/>
      </w:pPr>
      <w:rPr>
        <w:rFonts w:ascii="Symbol" w:hAnsi="Symbol" w:hint="default"/>
      </w:rPr>
    </w:lvl>
    <w:lvl w:ilvl="1" w:tplc="08090003">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39" w15:restartNumberingAfterBreak="0">
    <w:nsid w:val="67A20C02"/>
    <w:multiLevelType w:val="multilevel"/>
    <w:tmpl w:val="A498064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A187060"/>
    <w:multiLevelType w:val="multilevel"/>
    <w:tmpl w:val="7DF8006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A33AB03"/>
    <w:multiLevelType w:val="hybridMultilevel"/>
    <w:tmpl w:val="AF9EB382"/>
    <w:lvl w:ilvl="0" w:tplc="1EF646B0">
      <w:start w:val="1"/>
      <w:numFmt w:val="bullet"/>
      <w:lvlText w:val="-"/>
      <w:lvlJc w:val="left"/>
      <w:pPr>
        <w:ind w:left="720" w:hanging="360"/>
      </w:pPr>
      <w:rPr>
        <w:rFonts w:ascii="Symbol" w:hAnsi="Symbol" w:hint="default"/>
      </w:rPr>
    </w:lvl>
    <w:lvl w:ilvl="1" w:tplc="58727B3C">
      <w:start w:val="1"/>
      <w:numFmt w:val="bullet"/>
      <w:lvlText w:val="o"/>
      <w:lvlJc w:val="left"/>
      <w:pPr>
        <w:ind w:left="1440" w:hanging="360"/>
      </w:pPr>
      <w:rPr>
        <w:rFonts w:ascii="Courier New" w:hAnsi="Courier New" w:hint="default"/>
      </w:rPr>
    </w:lvl>
    <w:lvl w:ilvl="2" w:tplc="35D45E8A">
      <w:start w:val="1"/>
      <w:numFmt w:val="bullet"/>
      <w:lvlText w:val=""/>
      <w:lvlJc w:val="left"/>
      <w:pPr>
        <w:ind w:left="2160" w:hanging="360"/>
      </w:pPr>
      <w:rPr>
        <w:rFonts w:ascii="Wingdings" w:hAnsi="Wingdings" w:hint="default"/>
      </w:rPr>
    </w:lvl>
    <w:lvl w:ilvl="3" w:tplc="3260D432">
      <w:start w:val="1"/>
      <w:numFmt w:val="bullet"/>
      <w:lvlText w:val=""/>
      <w:lvlJc w:val="left"/>
      <w:pPr>
        <w:ind w:left="2880" w:hanging="360"/>
      </w:pPr>
      <w:rPr>
        <w:rFonts w:ascii="Symbol" w:hAnsi="Symbol" w:hint="default"/>
      </w:rPr>
    </w:lvl>
    <w:lvl w:ilvl="4" w:tplc="001CAD8A">
      <w:start w:val="1"/>
      <w:numFmt w:val="bullet"/>
      <w:lvlText w:val="o"/>
      <w:lvlJc w:val="left"/>
      <w:pPr>
        <w:ind w:left="3600" w:hanging="360"/>
      </w:pPr>
      <w:rPr>
        <w:rFonts w:ascii="Courier New" w:hAnsi="Courier New" w:hint="default"/>
      </w:rPr>
    </w:lvl>
    <w:lvl w:ilvl="5" w:tplc="2AB0E962">
      <w:start w:val="1"/>
      <w:numFmt w:val="bullet"/>
      <w:lvlText w:val=""/>
      <w:lvlJc w:val="left"/>
      <w:pPr>
        <w:ind w:left="4320" w:hanging="360"/>
      </w:pPr>
      <w:rPr>
        <w:rFonts w:ascii="Wingdings" w:hAnsi="Wingdings" w:hint="default"/>
      </w:rPr>
    </w:lvl>
    <w:lvl w:ilvl="6" w:tplc="FA702838">
      <w:start w:val="1"/>
      <w:numFmt w:val="bullet"/>
      <w:lvlText w:val=""/>
      <w:lvlJc w:val="left"/>
      <w:pPr>
        <w:ind w:left="5040" w:hanging="360"/>
      </w:pPr>
      <w:rPr>
        <w:rFonts w:ascii="Symbol" w:hAnsi="Symbol" w:hint="default"/>
      </w:rPr>
    </w:lvl>
    <w:lvl w:ilvl="7" w:tplc="62944EF0">
      <w:start w:val="1"/>
      <w:numFmt w:val="bullet"/>
      <w:lvlText w:val="o"/>
      <w:lvlJc w:val="left"/>
      <w:pPr>
        <w:ind w:left="5760" w:hanging="360"/>
      </w:pPr>
      <w:rPr>
        <w:rFonts w:ascii="Courier New" w:hAnsi="Courier New" w:hint="default"/>
      </w:rPr>
    </w:lvl>
    <w:lvl w:ilvl="8" w:tplc="D72C6B4E">
      <w:start w:val="1"/>
      <w:numFmt w:val="bullet"/>
      <w:lvlText w:val=""/>
      <w:lvlJc w:val="left"/>
      <w:pPr>
        <w:ind w:left="6480" w:hanging="360"/>
      </w:pPr>
      <w:rPr>
        <w:rFonts w:ascii="Wingdings" w:hAnsi="Wingdings" w:hint="default"/>
      </w:rPr>
    </w:lvl>
  </w:abstractNum>
  <w:abstractNum w:abstractNumId="42" w15:restartNumberingAfterBreak="0">
    <w:nsid w:val="77E54EC2"/>
    <w:multiLevelType w:val="hybridMultilevel"/>
    <w:tmpl w:val="68D665BA"/>
    <w:lvl w:ilvl="0" w:tplc="08090001">
      <w:start w:val="1"/>
      <w:numFmt w:val="bullet"/>
      <w:lvlText w:val=""/>
      <w:lvlJc w:val="left"/>
      <w:pPr>
        <w:ind w:left="1320" w:hanging="360"/>
      </w:pPr>
      <w:rPr>
        <w:rFonts w:ascii="Symbol" w:hAnsi="Symbol" w:hint="default"/>
      </w:rPr>
    </w:lvl>
    <w:lvl w:ilvl="1" w:tplc="08090003" w:tentative="1">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num w:numId="1" w16cid:durableId="1153718026">
    <w:abstractNumId w:val="4"/>
  </w:num>
  <w:num w:numId="2" w16cid:durableId="1688481579">
    <w:abstractNumId w:val="31"/>
  </w:num>
  <w:num w:numId="3" w16cid:durableId="1381247033">
    <w:abstractNumId w:val="41"/>
  </w:num>
  <w:num w:numId="4" w16cid:durableId="926574182">
    <w:abstractNumId w:val="9"/>
  </w:num>
  <w:num w:numId="5" w16cid:durableId="1138885475">
    <w:abstractNumId w:val="38"/>
  </w:num>
  <w:num w:numId="6" w16cid:durableId="865673023">
    <w:abstractNumId w:val="42"/>
  </w:num>
  <w:num w:numId="7" w16cid:durableId="349919215">
    <w:abstractNumId w:val="25"/>
  </w:num>
  <w:num w:numId="8" w16cid:durableId="124279310">
    <w:abstractNumId w:val="32"/>
  </w:num>
  <w:num w:numId="9" w16cid:durableId="461121934">
    <w:abstractNumId w:val="18"/>
  </w:num>
  <w:num w:numId="10" w16cid:durableId="2127119224">
    <w:abstractNumId w:val="16"/>
  </w:num>
  <w:num w:numId="11" w16cid:durableId="565342987">
    <w:abstractNumId w:val="19"/>
  </w:num>
  <w:num w:numId="12" w16cid:durableId="437456481">
    <w:abstractNumId w:val="8"/>
  </w:num>
  <w:num w:numId="13" w16cid:durableId="317148132">
    <w:abstractNumId w:val="13"/>
  </w:num>
  <w:num w:numId="14" w16cid:durableId="1507747164">
    <w:abstractNumId w:val="36"/>
  </w:num>
  <w:num w:numId="15" w16cid:durableId="2090151002">
    <w:abstractNumId w:val="3"/>
  </w:num>
  <w:num w:numId="16" w16cid:durableId="64113188">
    <w:abstractNumId w:val="26"/>
  </w:num>
  <w:num w:numId="17" w16cid:durableId="1382249906">
    <w:abstractNumId w:val="0"/>
  </w:num>
  <w:num w:numId="18" w16cid:durableId="620495645">
    <w:abstractNumId w:val="30"/>
  </w:num>
  <w:num w:numId="19" w16cid:durableId="644626389">
    <w:abstractNumId w:val="11"/>
  </w:num>
  <w:num w:numId="20" w16cid:durableId="1868130592">
    <w:abstractNumId w:val="28"/>
  </w:num>
  <w:num w:numId="21" w16cid:durableId="1549102065">
    <w:abstractNumId w:val="7"/>
  </w:num>
  <w:num w:numId="22" w16cid:durableId="795105489">
    <w:abstractNumId w:val="6"/>
  </w:num>
  <w:num w:numId="23" w16cid:durableId="1937399581">
    <w:abstractNumId w:val="1"/>
  </w:num>
  <w:num w:numId="24" w16cid:durableId="1046833837">
    <w:abstractNumId w:val="23"/>
  </w:num>
  <w:num w:numId="25" w16cid:durableId="447235184">
    <w:abstractNumId w:val="22"/>
  </w:num>
  <w:num w:numId="26" w16cid:durableId="1636443501">
    <w:abstractNumId w:val="21"/>
  </w:num>
  <w:num w:numId="27" w16cid:durableId="1676348513">
    <w:abstractNumId w:val="33"/>
  </w:num>
  <w:num w:numId="28" w16cid:durableId="1719431906">
    <w:abstractNumId w:val="27"/>
  </w:num>
  <w:num w:numId="29" w16cid:durableId="1299648506">
    <w:abstractNumId w:val="20"/>
  </w:num>
  <w:num w:numId="30" w16cid:durableId="160901397">
    <w:abstractNumId w:val="5"/>
  </w:num>
  <w:num w:numId="31" w16cid:durableId="1582133115">
    <w:abstractNumId w:val="10"/>
  </w:num>
  <w:num w:numId="32" w16cid:durableId="572352074">
    <w:abstractNumId w:val="2"/>
  </w:num>
  <w:num w:numId="33" w16cid:durableId="470907436">
    <w:abstractNumId w:val="40"/>
  </w:num>
  <w:num w:numId="34" w16cid:durableId="1271621789">
    <w:abstractNumId w:val="39"/>
  </w:num>
  <w:num w:numId="35" w16cid:durableId="2102989149">
    <w:abstractNumId w:val="37"/>
  </w:num>
  <w:num w:numId="36" w16cid:durableId="1740054551">
    <w:abstractNumId w:val="29"/>
  </w:num>
  <w:num w:numId="37" w16cid:durableId="1702314435">
    <w:abstractNumId w:val="17"/>
  </w:num>
  <w:num w:numId="38" w16cid:durableId="1222014445">
    <w:abstractNumId w:val="14"/>
  </w:num>
  <w:num w:numId="39" w16cid:durableId="1041130043">
    <w:abstractNumId w:val="35"/>
  </w:num>
  <w:num w:numId="40" w16cid:durableId="1379360035">
    <w:abstractNumId w:val="12"/>
  </w:num>
  <w:num w:numId="41" w16cid:durableId="317543016">
    <w:abstractNumId w:val="15"/>
  </w:num>
  <w:num w:numId="42" w16cid:durableId="428699512">
    <w:abstractNumId w:val="24"/>
  </w:num>
  <w:num w:numId="43" w16cid:durableId="759522424">
    <w:abstractNumId w:val="34"/>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134"/>
  <w:hyphenationZone w:val="425"/>
  <w:drawingGridHorizontalSpacing w:val="110"/>
  <w:displayHorizontalDrawingGridEvery w:val="2"/>
  <w:displayVerticalDrawingGridEvery w:val="2"/>
  <w:characterSpacingControl w:val="doNotCompress"/>
  <w:hdrShapeDefaults>
    <o:shapedefaults v:ext="edit" spidmax="2087"/>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Y3MLIwMTAzNzc2NLNQ0lEKTi0uzszPAykwrAUAjl3mgCwAAAA="/>
  </w:docVars>
  <w:rsids>
    <w:rsidRoot w:val="006D16A3"/>
    <w:rsid w:val="000009C0"/>
    <w:rsid w:val="00005301"/>
    <w:rsid w:val="0000684E"/>
    <w:rsid w:val="000133EE"/>
    <w:rsid w:val="000149CD"/>
    <w:rsid w:val="00015541"/>
    <w:rsid w:val="00017A30"/>
    <w:rsid w:val="0002008A"/>
    <w:rsid w:val="000206A8"/>
    <w:rsid w:val="00027205"/>
    <w:rsid w:val="0003137A"/>
    <w:rsid w:val="0003320E"/>
    <w:rsid w:val="00035A84"/>
    <w:rsid w:val="000379F3"/>
    <w:rsid w:val="00040873"/>
    <w:rsid w:val="00041171"/>
    <w:rsid w:val="00041727"/>
    <w:rsid w:val="0004226F"/>
    <w:rsid w:val="0004576B"/>
    <w:rsid w:val="00046126"/>
    <w:rsid w:val="00050F8E"/>
    <w:rsid w:val="000518BB"/>
    <w:rsid w:val="00055095"/>
    <w:rsid w:val="00056FD4"/>
    <w:rsid w:val="000573AD"/>
    <w:rsid w:val="00060016"/>
    <w:rsid w:val="0006123B"/>
    <w:rsid w:val="00061F8F"/>
    <w:rsid w:val="00064F6B"/>
    <w:rsid w:val="00072F17"/>
    <w:rsid w:val="000731AA"/>
    <w:rsid w:val="00077829"/>
    <w:rsid w:val="000806D8"/>
    <w:rsid w:val="0008099F"/>
    <w:rsid w:val="00081545"/>
    <w:rsid w:val="0008267D"/>
    <w:rsid w:val="00082C80"/>
    <w:rsid w:val="00083847"/>
    <w:rsid w:val="000838D3"/>
    <w:rsid w:val="00083C36"/>
    <w:rsid w:val="00084D58"/>
    <w:rsid w:val="00086457"/>
    <w:rsid w:val="00086A91"/>
    <w:rsid w:val="000872B9"/>
    <w:rsid w:val="000876A1"/>
    <w:rsid w:val="00092CAE"/>
    <w:rsid w:val="00095E48"/>
    <w:rsid w:val="000962C6"/>
    <w:rsid w:val="000A2EB7"/>
    <w:rsid w:val="000A4F1C"/>
    <w:rsid w:val="000A5717"/>
    <w:rsid w:val="000A69BF"/>
    <w:rsid w:val="000B6B11"/>
    <w:rsid w:val="000C1961"/>
    <w:rsid w:val="000C225A"/>
    <w:rsid w:val="000C6781"/>
    <w:rsid w:val="000D052D"/>
    <w:rsid w:val="000D0753"/>
    <w:rsid w:val="000D35F6"/>
    <w:rsid w:val="000D7C3D"/>
    <w:rsid w:val="000E0B5A"/>
    <w:rsid w:val="000E0EBF"/>
    <w:rsid w:val="000E50B7"/>
    <w:rsid w:val="000F493D"/>
    <w:rsid w:val="000F5E49"/>
    <w:rsid w:val="000F7A87"/>
    <w:rsid w:val="00102CBD"/>
    <w:rsid w:val="00102EAE"/>
    <w:rsid w:val="00103AC5"/>
    <w:rsid w:val="001047DC"/>
    <w:rsid w:val="00105C0D"/>
    <w:rsid w:val="00105D2E"/>
    <w:rsid w:val="00106FB7"/>
    <w:rsid w:val="00107719"/>
    <w:rsid w:val="00111BFD"/>
    <w:rsid w:val="0011498B"/>
    <w:rsid w:val="0011646C"/>
    <w:rsid w:val="00120147"/>
    <w:rsid w:val="00123140"/>
    <w:rsid w:val="00123D94"/>
    <w:rsid w:val="00127D32"/>
    <w:rsid w:val="00130BBC"/>
    <w:rsid w:val="00131DD2"/>
    <w:rsid w:val="00132EF3"/>
    <w:rsid w:val="00133D13"/>
    <w:rsid w:val="00150DBD"/>
    <w:rsid w:val="00154EF7"/>
    <w:rsid w:val="0015555A"/>
    <w:rsid w:val="00156F9B"/>
    <w:rsid w:val="00157868"/>
    <w:rsid w:val="00162611"/>
    <w:rsid w:val="00162DE4"/>
    <w:rsid w:val="00163BA3"/>
    <w:rsid w:val="00166B31"/>
    <w:rsid w:val="00167D54"/>
    <w:rsid w:val="00176AB5"/>
    <w:rsid w:val="001772AB"/>
    <w:rsid w:val="00180771"/>
    <w:rsid w:val="001809F7"/>
    <w:rsid w:val="00190854"/>
    <w:rsid w:val="001930A3"/>
    <w:rsid w:val="00196EB8"/>
    <w:rsid w:val="001A25F0"/>
    <w:rsid w:val="001A341E"/>
    <w:rsid w:val="001A40F4"/>
    <w:rsid w:val="001B0C5A"/>
    <w:rsid w:val="001B0EA6"/>
    <w:rsid w:val="001B1CDF"/>
    <w:rsid w:val="001B224D"/>
    <w:rsid w:val="001B2EC4"/>
    <w:rsid w:val="001B350B"/>
    <w:rsid w:val="001B498A"/>
    <w:rsid w:val="001B56F4"/>
    <w:rsid w:val="001C227B"/>
    <w:rsid w:val="001C3B68"/>
    <w:rsid w:val="001C5219"/>
    <w:rsid w:val="001C5462"/>
    <w:rsid w:val="001C7E83"/>
    <w:rsid w:val="001C7EC6"/>
    <w:rsid w:val="001D265C"/>
    <w:rsid w:val="001D2DC7"/>
    <w:rsid w:val="001D3062"/>
    <w:rsid w:val="001D3CFB"/>
    <w:rsid w:val="001D559B"/>
    <w:rsid w:val="001D6302"/>
    <w:rsid w:val="001E0604"/>
    <w:rsid w:val="001E2C22"/>
    <w:rsid w:val="001E740C"/>
    <w:rsid w:val="001E7DD0"/>
    <w:rsid w:val="001F1B29"/>
    <w:rsid w:val="001F1BDA"/>
    <w:rsid w:val="001F7F0A"/>
    <w:rsid w:val="0020095E"/>
    <w:rsid w:val="00204161"/>
    <w:rsid w:val="00210BFE"/>
    <w:rsid w:val="00210D30"/>
    <w:rsid w:val="00210F0B"/>
    <w:rsid w:val="0021549C"/>
    <w:rsid w:val="002204FD"/>
    <w:rsid w:val="00221020"/>
    <w:rsid w:val="002250A0"/>
    <w:rsid w:val="002263B3"/>
    <w:rsid w:val="00226D18"/>
    <w:rsid w:val="00227029"/>
    <w:rsid w:val="002308B5"/>
    <w:rsid w:val="00233C0B"/>
    <w:rsid w:val="00234A34"/>
    <w:rsid w:val="002368F9"/>
    <w:rsid w:val="002427AA"/>
    <w:rsid w:val="0024666E"/>
    <w:rsid w:val="00247458"/>
    <w:rsid w:val="00251497"/>
    <w:rsid w:val="0025255D"/>
    <w:rsid w:val="00255EE3"/>
    <w:rsid w:val="00256B3D"/>
    <w:rsid w:val="00261A89"/>
    <w:rsid w:val="00266530"/>
    <w:rsid w:val="0026743C"/>
    <w:rsid w:val="00270480"/>
    <w:rsid w:val="00272A8F"/>
    <w:rsid w:val="00275C8E"/>
    <w:rsid w:val="00276A7B"/>
    <w:rsid w:val="002779AF"/>
    <w:rsid w:val="002823D8"/>
    <w:rsid w:val="00283355"/>
    <w:rsid w:val="0028531A"/>
    <w:rsid w:val="00285446"/>
    <w:rsid w:val="00290082"/>
    <w:rsid w:val="00294B01"/>
    <w:rsid w:val="00294BA4"/>
    <w:rsid w:val="00295593"/>
    <w:rsid w:val="00295CE3"/>
    <w:rsid w:val="002A03CD"/>
    <w:rsid w:val="002A271E"/>
    <w:rsid w:val="002A354F"/>
    <w:rsid w:val="002A386C"/>
    <w:rsid w:val="002A6859"/>
    <w:rsid w:val="002B09DF"/>
    <w:rsid w:val="002B540D"/>
    <w:rsid w:val="002B7079"/>
    <w:rsid w:val="002B7A7E"/>
    <w:rsid w:val="002C0824"/>
    <w:rsid w:val="002C30BC"/>
    <w:rsid w:val="002C5965"/>
    <w:rsid w:val="002C5D01"/>
    <w:rsid w:val="002C5E15"/>
    <w:rsid w:val="002C6956"/>
    <w:rsid w:val="002C7A88"/>
    <w:rsid w:val="002C7AB9"/>
    <w:rsid w:val="002C7BA4"/>
    <w:rsid w:val="002D232B"/>
    <w:rsid w:val="002D2759"/>
    <w:rsid w:val="002D5765"/>
    <w:rsid w:val="002D5E00"/>
    <w:rsid w:val="002D6434"/>
    <w:rsid w:val="002D6DAC"/>
    <w:rsid w:val="002E0EA1"/>
    <w:rsid w:val="002E1451"/>
    <w:rsid w:val="002E261D"/>
    <w:rsid w:val="002E3FAD"/>
    <w:rsid w:val="002E4E16"/>
    <w:rsid w:val="002E7DD2"/>
    <w:rsid w:val="002F13CD"/>
    <w:rsid w:val="002F3F80"/>
    <w:rsid w:val="002F413D"/>
    <w:rsid w:val="002F6DAC"/>
    <w:rsid w:val="00301E8C"/>
    <w:rsid w:val="00302FFC"/>
    <w:rsid w:val="00303D54"/>
    <w:rsid w:val="00305368"/>
    <w:rsid w:val="00307DDD"/>
    <w:rsid w:val="00312169"/>
    <w:rsid w:val="003124C8"/>
    <w:rsid w:val="003143C9"/>
    <w:rsid w:val="003146E9"/>
    <w:rsid w:val="00314D5D"/>
    <w:rsid w:val="00320009"/>
    <w:rsid w:val="0032424A"/>
    <w:rsid w:val="003245D3"/>
    <w:rsid w:val="00330AA3"/>
    <w:rsid w:val="00331584"/>
    <w:rsid w:val="00331964"/>
    <w:rsid w:val="00333775"/>
    <w:rsid w:val="00334987"/>
    <w:rsid w:val="00340868"/>
    <w:rsid w:val="00340C69"/>
    <w:rsid w:val="00342E34"/>
    <w:rsid w:val="00347645"/>
    <w:rsid w:val="00347C9F"/>
    <w:rsid w:val="0035548C"/>
    <w:rsid w:val="00366531"/>
    <w:rsid w:val="00371CF1"/>
    <w:rsid w:val="0037222D"/>
    <w:rsid w:val="00373128"/>
    <w:rsid w:val="003750C1"/>
    <w:rsid w:val="003757B0"/>
    <w:rsid w:val="0038051E"/>
    <w:rsid w:val="00380AF7"/>
    <w:rsid w:val="003824EA"/>
    <w:rsid w:val="00386874"/>
    <w:rsid w:val="0038717F"/>
    <w:rsid w:val="00392BF0"/>
    <w:rsid w:val="00392F51"/>
    <w:rsid w:val="00394A05"/>
    <w:rsid w:val="00397770"/>
    <w:rsid w:val="00397880"/>
    <w:rsid w:val="003A11A8"/>
    <w:rsid w:val="003A3E65"/>
    <w:rsid w:val="003A7016"/>
    <w:rsid w:val="003B06C5"/>
    <w:rsid w:val="003B0C08"/>
    <w:rsid w:val="003B7822"/>
    <w:rsid w:val="003B7C64"/>
    <w:rsid w:val="003C069E"/>
    <w:rsid w:val="003C07D2"/>
    <w:rsid w:val="003C17A5"/>
    <w:rsid w:val="003C1843"/>
    <w:rsid w:val="003C4048"/>
    <w:rsid w:val="003C659C"/>
    <w:rsid w:val="003C6739"/>
    <w:rsid w:val="003C7A23"/>
    <w:rsid w:val="003C7D45"/>
    <w:rsid w:val="003D1552"/>
    <w:rsid w:val="003D16BC"/>
    <w:rsid w:val="003D6496"/>
    <w:rsid w:val="003D6F52"/>
    <w:rsid w:val="003D7F63"/>
    <w:rsid w:val="003E381F"/>
    <w:rsid w:val="003E4046"/>
    <w:rsid w:val="003E49BE"/>
    <w:rsid w:val="003E5D1B"/>
    <w:rsid w:val="003E6216"/>
    <w:rsid w:val="003F003A"/>
    <w:rsid w:val="003F125B"/>
    <w:rsid w:val="003F6BA8"/>
    <w:rsid w:val="003F7B3F"/>
    <w:rsid w:val="004058AD"/>
    <w:rsid w:val="00406C61"/>
    <w:rsid w:val="0041078D"/>
    <w:rsid w:val="00410DD5"/>
    <w:rsid w:val="00411305"/>
    <w:rsid w:val="004118E1"/>
    <w:rsid w:val="004133D2"/>
    <w:rsid w:val="00416F97"/>
    <w:rsid w:val="00421A27"/>
    <w:rsid w:val="00425173"/>
    <w:rsid w:val="004257B8"/>
    <w:rsid w:val="0042653A"/>
    <w:rsid w:val="0043039B"/>
    <w:rsid w:val="004305B2"/>
    <w:rsid w:val="00430EC8"/>
    <w:rsid w:val="00436197"/>
    <w:rsid w:val="004400FD"/>
    <w:rsid w:val="004423FE"/>
    <w:rsid w:val="00445C35"/>
    <w:rsid w:val="00447A55"/>
    <w:rsid w:val="00453681"/>
    <w:rsid w:val="00454B41"/>
    <w:rsid w:val="0045663A"/>
    <w:rsid w:val="004603CA"/>
    <w:rsid w:val="0046344E"/>
    <w:rsid w:val="00464890"/>
    <w:rsid w:val="004667E7"/>
    <w:rsid w:val="004672CF"/>
    <w:rsid w:val="00470DEF"/>
    <w:rsid w:val="00475797"/>
    <w:rsid w:val="00476D0A"/>
    <w:rsid w:val="00491024"/>
    <w:rsid w:val="0049253B"/>
    <w:rsid w:val="004A11BA"/>
    <w:rsid w:val="004A140B"/>
    <w:rsid w:val="004A4B47"/>
    <w:rsid w:val="004A778F"/>
    <w:rsid w:val="004A7EDD"/>
    <w:rsid w:val="004B0761"/>
    <w:rsid w:val="004B0EC9"/>
    <w:rsid w:val="004B21BA"/>
    <w:rsid w:val="004B4595"/>
    <w:rsid w:val="004B7BAA"/>
    <w:rsid w:val="004C0B33"/>
    <w:rsid w:val="004C2258"/>
    <w:rsid w:val="004C28A4"/>
    <w:rsid w:val="004C2DF7"/>
    <w:rsid w:val="004C4E0B"/>
    <w:rsid w:val="004C547F"/>
    <w:rsid w:val="004D3098"/>
    <w:rsid w:val="004D497E"/>
    <w:rsid w:val="004E4809"/>
    <w:rsid w:val="004E4CC3"/>
    <w:rsid w:val="004E5985"/>
    <w:rsid w:val="004E6352"/>
    <w:rsid w:val="004E6460"/>
    <w:rsid w:val="004F6B46"/>
    <w:rsid w:val="004F6F84"/>
    <w:rsid w:val="00500360"/>
    <w:rsid w:val="0050425E"/>
    <w:rsid w:val="00505BC1"/>
    <w:rsid w:val="00511999"/>
    <w:rsid w:val="005143E4"/>
    <w:rsid w:val="005145D6"/>
    <w:rsid w:val="00521A2A"/>
    <w:rsid w:val="00521EA5"/>
    <w:rsid w:val="00525B80"/>
    <w:rsid w:val="00530105"/>
    <w:rsid w:val="0053098F"/>
    <w:rsid w:val="005362BD"/>
    <w:rsid w:val="00536B2E"/>
    <w:rsid w:val="005370A2"/>
    <w:rsid w:val="005458BE"/>
    <w:rsid w:val="00546D8E"/>
    <w:rsid w:val="0054720D"/>
    <w:rsid w:val="00547E4B"/>
    <w:rsid w:val="0055210A"/>
    <w:rsid w:val="00552200"/>
    <w:rsid w:val="00553738"/>
    <w:rsid w:val="00553F7E"/>
    <w:rsid w:val="00554E4D"/>
    <w:rsid w:val="0056646F"/>
    <w:rsid w:val="00571AE1"/>
    <w:rsid w:val="00575FB8"/>
    <w:rsid w:val="005760E1"/>
    <w:rsid w:val="00577448"/>
    <w:rsid w:val="00581B28"/>
    <w:rsid w:val="005859C2"/>
    <w:rsid w:val="00592267"/>
    <w:rsid w:val="0059421F"/>
    <w:rsid w:val="005A136D"/>
    <w:rsid w:val="005A15CA"/>
    <w:rsid w:val="005A244C"/>
    <w:rsid w:val="005A2945"/>
    <w:rsid w:val="005B053A"/>
    <w:rsid w:val="005B0AE2"/>
    <w:rsid w:val="005B1F2C"/>
    <w:rsid w:val="005B38BA"/>
    <w:rsid w:val="005B5F3C"/>
    <w:rsid w:val="005C41F2"/>
    <w:rsid w:val="005C4364"/>
    <w:rsid w:val="005D03D9"/>
    <w:rsid w:val="005D102F"/>
    <w:rsid w:val="005D1EE8"/>
    <w:rsid w:val="005D56AE"/>
    <w:rsid w:val="005D666D"/>
    <w:rsid w:val="005D7CAB"/>
    <w:rsid w:val="005E336F"/>
    <w:rsid w:val="005E3A59"/>
    <w:rsid w:val="005E4A72"/>
    <w:rsid w:val="005E76BF"/>
    <w:rsid w:val="005F1F64"/>
    <w:rsid w:val="005F5BFA"/>
    <w:rsid w:val="00600EC6"/>
    <w:rsid w:val="00604802"/>
    <w:rsid w:val="00604D37"/>
    <w:rsid w:val="0060666C"/>
    <w:rsid w:val="00607A36"/>
    <w:rsid w:val="00611412"/>
    <w:rsid w:val="0061264E"/>
    <w:rsid w:val="00615AB0"/>
    <w:rsid w:val="00616247"/>
    <w:rsid w:val="0061778C"/>
    <w:rsid w:val="0062297E"/>
    <w:rsid w:val="00625C39"/>
    <w:rsid w:val="0063329B"/>
    <w:rsid w:val="00633E24"/>
    <w:rsid w:val="006350C4"/>
    <w:rsid w:val="00636B90"/>
    <w:rsid w:val="00636D86"/>
    <w:rsid w:val="006406B5"/>
    <w:rsid w:val="00640C39"/>
    <w:rsid w:val="00644BA9"/>
    <w:rsid w:val="00645C0E"/>
    <w:rsid w:val="0064738B"/>
    <w:rsid w:val="00647549"/>
    <w:rsid w:val="006508EA"/>
    <w:rsid w:val="006550BD"/>
    <w:rsid w:val="00660D41"/>
    <w:rsid w:val="00662546"/>
    <w:rsid w:val="0066408D"/>
    <w:rsid w:val="00667E86"/>
    <w:rsid w:val="006705A7"/>
    <w:rsid w:val="006736E7"/>
    <w:rsid w:val="00673A7C"/>
    <w:rsid w:val="00674BBB"/>
    <w:rsid w:val="00674C66"/>
    <w:rsid w:val="006753E1"/>
    <w:rsid w:val="0068392D"/>
    <w:rsid w:val="00683B91"/>
    <w:rsid w:val="006879F4"/>
    <w:rsid w:val="006906B3"/>
    <w:rsid w:val="006978EB"/>
    <w:rsid w:val="00697DB5"/>
    <w:rsid w:val="006A1B33"/>
    <w:rsid w:val="006A28B6"/>
    <w:rsid w:val="006A319F"/>
    <w:rsid w:val="006A4241"/>
    <w:rsid w:val="006A492A"/>
    <w:rsid w:val="006A4BB9"/>
    <w:rsid w:val="006B0C4A"/>
    <w:rsid w:val="006B0E66"/>
    <w:rsid w:val="006B5C72"/>
    <w:rsid w:val="006B7C5A"/>
    <w:rsid w:val="006C289D"/>
    <w:rsid w:val="006C3672"/>
    <w:rsid w:val="006C57C6"/>
    <w:rsid w:val="006C60A1"/>
    <w:rsid w:val="006D0310"/>
    <w:rsid w:val="006D16A3"/>
    <w:rsid w:val="006D2009"/>
    <w:rsid w:val="006D5576"/>
    <w:rsid w:val="006D607E"/>
    <w:rsid w:val="006E0B15"/>
    <w:rsid w:val="006E45F3"/>
    <w:rsid w:val="006E6057"/>
    <w:rsid w:val="006E766D"/>
    <w:rsid w:val="006F02BB"/>
    <w:rsid w:val="006F0B1B"/>
    <w:rsid w:val="006F4B29"/>
    <w:rsid w:val="006F5502"/>
    <w:rsid w:val="006F551F"/>
    <w:rsid w:val="006F6CE9"/>
    <w:rsid w:val="0070041E"/>
    <w:rsid w:val="0070344B"/>
    <w:rsid w:val="00703B6F"/>
    <w:rsid w:val="0070517C"/>
    <w:rsid w:val="00705C9F"/>
    <w:rsid w:val="00716951"/>
    <w:rsid w:val="00720F6B"/>
    <w:rsid w:val="00730ADA"/>
    <w:rsid w:val="00732A26"/>
    <w:rsid w:val="00732C37"/>
    <w:rsid w:val="007346AD"/>
    <w:rsid w:val="00735D9E"/>
    <w:rsid w:val="007377E6"/>
    <w:rsid w:val="007402A6"/>
    <w:rsid w:val="007414E3"/>
    <w:rsid w:val="00745A09"/>
    <w:rsid w:val="00751EAF"/>
    <w:rsid w:val="00754CF7"/>
    <w:rsid w:val="00754E46"/>
    <w:rsid w:val="00757B0D"/>
    <w:rsid w:val="00761320"/>
    <w:rsid w:val="007651B1"/>
    <w:rsid w:val="0076566D"/>
    <w:rsid w:val="00767BC9"/>
    <w:rsid w:val="00767CE1"/>
    <w:rsid w:val="00771A68"/>
    <w:rsid w:val="0077342A"/>
    <w:rsid w:val="007744D2"/>
    <w:rsid w:val="0078369F"/>
    <w:rsid w:val="00786136"/>
    <w:rsid w:val="007873DF"/>
    <w:rsid w:val="00787F8B"/>
    <w:rsid w:val="007A23A7"/>
    <w:rsid w:val="007A41B3"/>
    <w:rsid w:val="007B05CF"/>
    <w:rsid w:val="007B309C"/>
    <w:rsid w:val="007B4F3F"/>
    <w:rsid w:val="007B779A"/>
    <w:rsid w:val="007C148B"/>
    <w:rsid w:val="007C212A"/>
    <w:rsid w:val="007C2A7F"/>
    <w:rsid w:val="007D0706"/>
    <w:rsid w:val="007D253E"/>
    <w:rsid w:val="007D5B3C"/>
    <w:rsid w:val="007D6A2D"/>
    <w:rsid w:val="007D751B"/>
    <w:rsid w:val="007E7D21"/>
    <w:rsid w:val="007E7DBD"/>
    <w:rsid w:val="007F05E4"/>
    <w:rsid w:val="007F482F"/>
    <w:rsid w:val="007F7C94"/>
    <w:rsid w:val="007F7F20"/>
    <w:rsid w:val="0080398D"/>
    <w:rsid w:val="00805174"/>
    <w:rsid w:val="00806385"/>
    <w:rsid w:val="00807CC5"/>
    <w:rsid w:val="00807ED7"/>
    <w:rsid w:val="00810AAB"/>
    <w:rsid w:val="00813906"/>
    <w:rsid w:val="00814CC6"/>
    <w:rsid w:val="00816363"/>
    <w:rsid w:val="0082224C"/>
    <w:rsid w:val="0082259D"/>
    <w:rsid w:val="00825D82"/>
    <w:rsid w:val="00826D53"/>
    <w:rsid w:val="008273AA"/>
    <w:rsid w:val="00831751"/>
    <w:rsid w:val="00833369"/>
    <w:rsid w:val="00833488"/>
    <w:rsid w:val="008357EA"/>
    <w:rsid w:val="00835B42"/>
    <w:rsid w:val="00842A4E"/>
    <w:rsid w:val="00847D99"/>
    <w:rsid w:val="0085038E"/>
    <w:rsid w:val="00851FD3"/>
    <w:rsid w:val="0085230A"/>
    <w:rsid w:val="00855757"/>
    <w:rsid w:val="00860B9A"/>
    <w:rsid w:val="0086271D"/>
    <w:rsid w:val="0086420B"/>
    <w:rsid w:val="00864363"/>
    <w:rsid w:val="00864DBF"/>
    <w:rsid w:val="00865AE2"/>
    <w:rsid w:val="008663C8"/>
    <w:rsid w:val="00867791"/>
    <w:rsid w:val="0087057A"/>
    <w:rsid w:val="008769AA"/>
    <w:rsid w:val="0087781B"/>
    <w:rsid w:val="0088163A"/>
    <w:rsid w:val="00881EC9"/>
    <w:rsid w:val="008858A0"/>
    <w:rsid w:val="008911B2"/>
    <w:rsid w:val="00893376"/>
    <w:rsid w:val="00895F34"/>
    <w:rsid w:val="0089601F"/>
    <w:rsid w:val="008970B8"/>
    <w:rsid w:val="008A0940"/>
    <w:rsid w:val="008A0B36"/>
    <w:rsid w:val="008A1EA9"/>
    <w:rsid w:val="008A44C5"/>
    <w:rsid w:val="008A6431"/>
    <w:rsid w:val="008A7313"/>
    <w:rsid w:val="008A7D91"/>
    <w:rsid w:val="008B0C15"/>
    <w:rsid w:val="008B2453"/>
    <w:rsid w:val="008B5A37"/>
    <w:rsid w:val="008B7EE6"/>
    <w:rsid w:val="008B7FC7"/>
    <w:rsid w:val="008C33ED"/>
    <w:rsid w:val="008C4337"/>
    <w:rsid w:val="008C4F06"/>
    <w:rsid w:val="008D0C90"/>
    <w:rsid w:val="008D132C"/>
    <w:rsid w:val="008D420C"/>
    <w:rsid w:val="008D578A"/>
    <w:rsid w:val="008E13B5"/>
    <w:rsid w:val="008E1E4A"/>
    <w:rsid w:val="008E5AB5"/>
    <w:rsid w:val="008F0615"/>
    <w:rsid w:val="008F103E"/>
    <w:rsid w:val="008F1FDB"/>
    <w:rsid w:val="008F36FB"/>
    <w:rsid w:val="008F3D49"/>
    <w:rsid w:val="00902EA9"/>
    <w:rsid w:val="0090391B"/>
    <w:rsid w:val="0090427F"/>
    <w:rsid w:val="00913418"/>
    <w:rsid w:val="00914FAE"/>
    <w:rsid w:val="00915CE4"/>
    <w:rsid w:val="00920506"/>
    <w:rsid w:val="0093047C"/>
    <w:rsid w:val="00931DEB"/>
    <w:rsid w:val="00933957"/>
    <w:rsid w:val="009356FA"/>
    <w:rsid w:val="00937B4B"/>
    <w:rsid w:val="00940C41"/>
    <w:rsid w:val="009420C3"/>
    <w:rsid w:val="00942359"/>
    <w:rsid w:val="0094603B"/>
    <w:rsid w:val="00947006"/>
    <w:rsid w:val="00947A8C"/>
    <w:rsid w:val="009504A1"/>
    <w:rsid w:val="00950605"/>
    <w:rsid w:val="00952233"/>
    <w:rsid w:val="0095419D"/>
    <w:rsid w:val="00954D66"/>
    <w:rsid w:val="00957F00"/>
    <w:rsid w:val="00963F8F"/>
    <w:rsid w:val="009655F9"/>
    <w:rsid w:val="00971186"/>
    <w:rsid w:val="0097129E"/>
    <w:rsid w:val="0097354C"/>
    <w:rsid w:val="00973C62"/>
    <w:rsid w:val="00975D76"/>
    <w:rsid w:val="00976DD3"/>
    <w:rsid w:val="00977CF7"/>
    <w:rsid w:val="00977F45"/>
    <w:rsid w:val="00980002"/>
    <w:rsid w:val="00982E51"/>
    <w:rsid w:val="00983B0A"/>
    <w:rsid w:val="0098561E"/>
    <w:rsid w:val="009874B9"/>
    <w:rsid w:val="00993581"/>
    <w:rsid w:val="009A288C"/>
    <w:rsid w:val="009A505B"/>
    <w:rsid w:val="009A595B"/>
    <w:rsid w:val="009A64C1"/>
    <w:rsid w:val="009B1A8B"/>
    <w:rsid w:val="009B2BB6"/>
    <w:rsid w:val="009B6697"/>
    <w:rsid w:val="009C190E"/>
    <w:rsid w:val="009C2B43"/>
    <w:rsid w:val="009C2EA4"/>
    <w:rsid w:val="009C3855"/>
    <w:rsid w:val="009C47AE"/>
    <w:rsid w:val="009C4C04"/>
    <w:rsid w:val="009D1764"/>
    <w:rsid w:val="009D5213"/>
    <w:rsid w:val="009D7611"/>
    <w:rsid w:val="009E10C5"/>
    <w:rsid w:val="009E11E6"/>
    <w:rsid w:val="009E1C78"/>
    <w:rsid w:val="009E1C95"/>
    <w:rsid w:val="009E5E26"/>
    <w:rsid w:val="009F196A"/>
    <w:rsid w:val="009F669B"/>
    <w:rsid w:val="009F7566"/>
    <w:rsid w:val="009F7F18"/>
    <w:rsid w:val="00A00912"/>
    <w:rsid w:val="00A02018"/>
    <w:rsid w:val="00A02A72"/>
    <w:rsid w:val="00A04A1E"/>
    <w:rsid w:val="00A060A8"/>
    <w:rsid w:val="00A065DB"/>
    <w:rsid w:val="00A06BFE"/>
    <w:rsid w:val="00A10F5D"/>
    <w:rsid w:val="00A1199A"/>
    <w:rsid w:val="00A1243C"/>
    <w:rsid w:val="00A135AE"/>
    <w:rsid w:val="00A14AF1"/>
    <w:rsid w:val="00A16891"/>
    <w:rsid w:val="00A268CE"/>
    <w:rsid w:val="00A26D79"/>
    <w:rsid w:val="00A30906"/>
    <w:rsid w:val="00A332E8"/>
    <w:rsid w:val="00A35AF5"/>
    <w:rsid w:val="00A35DDF"/>
    <w:rsid w:val="00A3671F"/>
    <w:rsid w:val="00A36CBA"/>
    <w:rsid w:val="00A4240A"/>
    <w:rsid w:val="00A432CD"/>
    <w:rsid w:val="00A447EF"/>
    <w:rsid w:val="00A449A7"/>
    <w:rsid w:val="00A45741"/>
    <w:rsid w:val="00A46EBD"/>
    <w:rsid w:val="00A47EF6"/>
    <w:rsid w:val="00A50291"/>
    <w:rsid w:val="00A52903"/>
    <w:rsid w:val="00A530E4"/>
    <w:rsid w:val="00A55C62"/>
    <w:rsid w:val="00A604CD"/>
    <w:rsid w:val="00A60FE6"/>
    <w:rsid w:val="00A622F5"/>
    <w:rsid w:val="00A654BE"/>
    <w:rsid w:val="00A65E1E"/>
    <w:rsid w:val="00A66DD6"/>
    <w:rsid w:val="00A70B44"/>
    <w:rsid w:val="00A70D60"/>
    <w:rsid w:val="00A7255B"/>
    <w:rsid w:val="00A7433F"/>
    <w:rsid w:val="00A75018"/>
    <w:rsid w:val="00A771FD"/>
    <w:rsid w:val="00A778B4"/>
    <w:rsid w:val="00A80767"/>
    <w:rsid w:val="00A81C90"/>
    <w:rsid w:val="00A84587"/>
    <w:rsid w:val="00A874EF"/>
    <w:rsid w:val="00A9007C"/>
    <w:rsid w:val="00A9364B"/>
    <w:rsid w:val="00A95415"/>
    <w:rsid w:val="00A95DEF"/>
    <w:rsid w:val="00A9605C"/>
    <w:rsid w:val="00A96630"/>
    <w:rsid w:val="00A97823"/>
    <w:rsid w:val="00AA3C89"/>
    <w:rsid w:val="00AA467F"/>
    <w:rsid w:val="00AA4882"/>
    <w:rsid w:val="00AA58FD"/>
    <w:rsid w:val="00AB1D5E"/>
    <w:rsid w:val="00AB32BD"/>
    <w:rsid w:val="00AB4723"/>
    <w:rsid w:val="00AB4889"/>
    <w:rsid w:val="00AB635A"/>
    <w:rsid w:val="00AC4748"/>
    <w:rsid w:val="00AC4CDB"/>
    <w:rsid w:val="00AC70FE"/>
    <w:rsid w:val="00AD3AA3"/>
    <w:rsid w:val="00AD4358"/>
    <w:rsid w:val="00AD5D3D"/>
    <w:rsid w:val="00AE516E"/>
    <w:rsid w:val="00AE78B7"/>
    <w:rsid w:val="00AF4B08"/>
    <w:rsid w:val="00AF61E1"/>
    <w:rsid w:val="00AF638A"/>
    <w:rsid w:val="00AF7933"/>
    <w:rsid w:val="00B00141"/>
    <w:rsid w:val="00B009AA"/>
    <w:rsid w:val="00B00ECE"/>
    <w:rsid w:val="00B030C8"/>
    <w:rsid w:val="00B03888"/>
    <w:rsid w:val="00B039C0"/>
    <w:rsid w:val="00B03A09"/>
    <w:rsid w:val="00B04A7A"/>
    <w:rsid w:val="00B056E7"/>
    <w:rsid w:val="00B05B71"/>
    <w:rsid w:val="00B05E65"/>
    <w:rsid w:val="00B10035"/>
    <w:rsid w:val="00B11F3C"/>
    <w:rsid w:val="00B15C76"/>
    <w:rsid w:val="00B165E6"/>
    <w:rsid w:val="00B235DB"/>
    <w:rsid w:val="00B279EE"/>
    <w:rsid w:val="00B36420"/>
    <w:rsid w:val="00B3784C"/>
    <w:rsid w:val="00B37DF3"/>
    <w:rsid w:val="00B404B5"/>
    <w:rsid w:val="00B40CB7"/>
    <w:rsid w:val="00B424D9"/>
    <w:rsid w:val="00B447C0"/>
    <w:rsid w:val="00B450FA"/>
    <w:rsid w:val="00B4655B"/>
    <w:rsid w:val="00B46EB6"/>
    <w:rsid w:val="00B52510"/>
    <w:rsid w:val="00B53E53"/>
    <w:rsid w:val="00B548A2"/>
    <w:rsid w:val="00B54B54"/>
    <w:rsid w:val="00B56934"/>
    <w:rsid w:val="00B56964"/>
    <w:rsid w:val="00B57A3C"/>
    <w:rsid w:val="00B62F03"/>
    <w:rsid w:val="00B645A6"/>
    <w:rsid w:val="00B648F6"/>
    <w:rsid w:val="00B71C82"/>
    <w:rsid w:val="00B72444"/>
    <w:rsid w:val="00B76CBF"/>
    <w:rsid w:val="00B86B12"/>
    <w:rsid w:val="00B9178B"/>
    <w:rsid w:val="00B93B62"/>
    <w:rsid w:val="00B9494B"/>
    <w:rsid w:val="00B953D1"/>
    <w:rsid w:val="00B95950"/>
    <w:rsid w:val="00B96D93"/>
    <w:rsid w:val="00B97BF0"/>
    <w:rsid w:val="00BA13F3"/>
    <w:rsid w:val="00BA1977"/>
    <w:rsid w:val="00BA30D0"/>
    <w:rsid w:val="00BA41AA"/>
    <w:rsid w:val="00BA65E5"/>
    <w:rsid w:val="00BA6A8F"/>
    <w:rsid w:val="00BA6CC2"/>
    <w:rsid w:val="00BB099E"/>
    <w:rsid w:val="00BB0D32"/>
    <w:rsid w:val="00BB3348"/>
    <w:rsid w:val="00BB5984"/>
    <w:rsid w:val="00BB7815"/>
    <w:rsid w:val="00BC056B"/>
    <w:rsid w:val="00BC0EA8"/>
    <w:rsid w:val="00BC3622"/>
    <w:rsid w:val="00BC4AAE"/>
    <w:rsid w:val="00BC5621"/>
    <w:rsid w:val="00BC76B5"/>
    <w:rsid w:val="00BD0690"/>
    <w:rsid w:val="00BD5331"/>
    <w:rsid w:val="00BD5420"/>
    <w:rsid w:val="00BE17FD"/>
    <w:rsid w:val="00BE53B9"/>
    <w:rsid w:val="00BF0573"/>
    <w:rsid w:val="00BF5191"/>
    <w:rsid w:val="00C035B8"/>
    <w:rsid w:val="00C04BD2"/>
    <w:rsid w:val="00C13EEC"/>
    <w:rsid w:val="00C1435E"/>
    <w:rsid w:val="00C14689"/>
    <w:rsid w:val="00C156A4"/>
    <w:rsid w:val="00C170C2"/>
    <w:rsid w:val="00C20FAA"/>
    <w:rsid w:val="00C23509"/>
    <w:rsid w:val="00C2459D"/>
    <w:rsid w:val="00C2755A"/>
    <w:rsid w:val="00C310C3"/>
    <w:rsid w:val="00C316F1"/>
    <w:rsid w:val="00C37096"/>
    <w:rsid w:val="00C42C95"/>
    <w:rsid w:val="00C43F82"/>
    <w:rsid w:val="00C4470F"/>
    <w:rsid w:val="00C50727"/>
    <w:rsid w:val="00C51926"/>
    <w:rsid w:val="00C55E5B"/>
    <w:rsid w:val="00C56292"/>
    <w:rsid w:val="00C566EA"/>
    <w:rsid w:val="00C62739"/>
    <w:rsid w:val="00C63E3C"/>
    <w:rsid w:val="00C668C8"/>
    <w:rsid w:val="00C66EE8"/>
    <w:rsid w:val="00C67C51"/>
    <w:rsid w:val="00C71F64"/>
    <w:rsid w:val="00C720A4"/>
    <w:rsid w:val="00C72779"/>
    <w:rsid w:val="00C735B2"/>
    <w:rsid w:val="00C74F59"/>
    <w:rsid w:val="00C7611C"/>
    <w:rsid w:val="00C80FA5"/>
    <w:rsid w:val="00C90E95"/>
    <w:rsid w:val="00C92898"/>
    <w:rsid w:val="00C94097"/>
    <w:rsid w:val="00C9444A"/>
    <w:rsid w:val="00CA0ACE"/>
    <w:rsid w:val="00CA1DA5"/>
    <w:rsid w:val="00CA3DE9"/>
    <w:rsid w:val="00CA4269"/>
    <w:rsid w:val="00CA48CA"/>
    <w:rsid w:val="00CA7330"/>
    <w:rsid w:val="00CB0838"/>
    <w:rsid w:val="00CB1C84"/>
    <w:rsid w:val="00CB5363"/>
    <w:rsid w:val="00CB64F0"/>
    <w:rsid w:val="00CB6FB6"/>
    <w:rsid w:val="00CC0990"/>
    <w:rsid w:val="00CC1957"/>
    <w:rsid w:val="00CC2909"/>
    <w:rsid w:val="00CC3689"/>
    <w:rsid w:val="00CC4A43"/>
    <w:rsid w:val="00CD0549"/>
    <w:rsid w:val="00CD2BB2"/>
    <w:rsid w:val="00CD5893"/>
    <w:rsid w:val="00CD7F61"/>
    <w:rsid w:val="00CE1BF3"/>
    <w:rsid w:val="00CE6B3C"/>
    <w:rsid w:val="00CF44EC"/>
    <w:rsid w:val="00CF5978"/>
    <w:rsid w:val="00D0178F"/>
    <w:rsid w:val="00D03F09"/>
    <w:rsid w:val="00D05E6F"/>
    <w:rsid w:val="00D10E1D"/>
    <w:rsid w:val="00D20296"/>
    <w:rsid w:val="00D2231A"/>
    <w:rsid w:val="00D237EE"/>
    <w:rsid w:val="00D276BD"/>
    <w:rsid w:val="00D27929"/>
    <w:rsid w:val="00D317D2"/>
    <w:rsid w:val="00D33442"/>
    <w:rsid w:val="00D349F9"/>
    <w:rsid w:val="00D419C6"/>
    <w:rsid w:val="00D44007"/>
    <w:rsid w:val="00D44BAD"/>
    <w:rsid w:val="00D45B55"/>
    <w:rsid w:val="00D4785A"/>
    <w:rsid w:val="00D52E43"/>
    <w:rsid w:val="00D65CE2"/>
    <w:rsid w:val="00D664D7"/>
    <w:rsid w:val="00D67E1E"/>
    <w:rsid w:val="00D7097B"/>
    <w:rsid w:val="00D7197D"/>
    <w:rsid w:val="00D72BC4"/>
    <w:rsid w:val="00D75A28"/>
    <w:rsid w:val="00D815FC"/>
    <w:rsid w:val="00D82553"/>
    <w:rsid w:val="00D8347E"/>
    <w:rsid w:val="00D8517B"/>
    <w:rsid w:val="00D91DFA"/>
    <w:rsid w:val="00DA1103"/>
    <w:rsid w:val="00DA159A"/>
    <w:rsid w:val="00DA5B83"/>
    <w:rsid w:val="00DB1AB2"/>
    <w:rsid w:val="00DC17C2"/>
    <w:rsid w:val="00DC1F0F"/>
    <w:rsid w:val="00DC4FDF"/>
    <w:rsid w:val="00DC5112"/>
    <w:rsid w:val="00DC66F0"/>
    <w:rsid w:val="00DD3105"/>
    <w:rsid w:val="00DD3528"/>
    <w:rsid w:val="00DD3A65"/>
    <w:rsid w:val="00DD42C1"/>
    <w:rsid w:val="00DD62C6"/>
    <w:rsid w:val="00DD62FF"/>
    <w:rsid w:val="00DE3B92"/>
    <w:rsid w:val="00DE48B4"/>
    <w:rsid w:val="00DE557E"/>
    <w:rsid w:val="00DE5ACA"/>
    <w:rsid w:val="00DE7137"/>
    <w:rsid w:val="00DF18E4"/>
    <w:rsid w:val="00DF589B"/>
    <w:rsid w:val="00DF600F"/>
    <w:rsid w:val="00E00498"/>
    <w:rsid w:val="00E0128D"/>
    <w:rsid w:val="00E04097"/>
    <w:rsid w:val="00E04BBA"/>
    <w:rsid w:val="00E07021"/>
    <w:rsid w:val="00E11F20"/>
    <w:rsid w:val="00E13E25"/>
    <w:rsid w:val="00E140CA"/>
    <w:rsid w:val="00E1464C"/>
    <w:rsid w:val="00E14ADB"/>
    <w:rsid w:val="00E21F8F"/>
    <w:rsid w:val="00E22F78"/>
    <w:rsid w:val="00E2425D"/>
    <w:rsid w:val="00E24948"/>
    <w:rsid w:val="00E24F87"/>
    <w:rsid w:val="00E2617A"/>
    <w:rsid w:val="00E265E9"/>
    <w:rsid w:val="00E26782"/>
    <w:rsid w:val="00E273FB"/>
    <w:rsid w:val="00E3030C"/>
    <w:rsid w:val="00E311D5"/>
    <w:rsid w:val="00E31CD4"/>
    <w:rsid w:val="00E3250D"/>
    <w:rsid w:val="00E34223"/>
    <w:rsid w:val="00E379E2"/>
    <w:rsid w:val="00E41385"/>
    <w:rsid w:val="00E41F89"/>
    <w:rsid w:val="00E43F41"/>
    <w:rsid w:val="00E44377"/>
    <w:rsid w:val="00E513A7"/>
    <w:rsid w:val="00E538E6"/>
    <w:rsid w:val="00E56696"/>
    <w:rsid w:val="00E56E31"/>
    <w:rsid w:val="00E60F37"/>
    <w:rsid w:val="00E712D6"/>
    <w:rsid w:val="00E72A54"/>
    <w:rsid w:val="00E7382F"/>
    <w:rsid w:val="00E73D6F"/>
    <w:rsid w:val="00E74332"/>
    <w:rsid w:val="00E7671F"/>
    <w:rsid w:val="00E768A9"/>
    <w:rsid w:val="00E802A2"/>
    <w:rsid w:val="00E83B8D"/>
    <w:rsid w:val="00E8410F"/>
    <w:rsid w:val="00E85C0B"/>
    <w:rsid w:val="00E86642"/>
    <w:rsid w:val="00E93F4A"/>
    <w:rsid w:val="00E969D3"/>
    <w:rsid w:val="00EA05E5"/>
    <w:rsid w:val="00EA513C"/>
    <w:rsid w:val="00EA685F"/>
    <w:rsid w:val="00EA7089"/>
    <w:rsid w:val="00EA723F"/>
    <w:rsid w:val="00EB13D7"/>
    <w:rsid w:val="00EB1E83"/>
    <w:rsid w:val="00EB1F39"/>
    <w:rsid w:val="00EB4587"/>
    <w:rsid w:val="00EB5299"/>
    <w:rsid w:val="00EB5D6F"/>
    <w:rsid w:val="00EB66F7"/>
    <w:rsid w:val="00EB6B55"/>
    <w:rsid w:val="00ED22CB"/>
    <w:rsid w:val="00ED4873"/>
    <w:rsid w:val="00ED4BB1"/>
    <w:rsid w:val="00ED67AF"/>
    <w:rsid w:val="00ED68F4"/>
    <w:rsid w:val="00ED7316"/>
    <w:rsid w:val="00EE11F0"/>
    <w:rsid w:val="00EE128C"/>
    <w:rsid w:val="00EE4C48"/>
    <w:rsid w:val="00EE5D2E"/>
    <w:rsid w:val="00EE61DC"/>
    <w:rsid w:val="00EE684A"/>
    <w:rsid w:val="00EE6B2C"/>
    <w:rsid w:val="00EE7E6F"/>
    <w:rsid w:val="00EF4C88"/>
    <w:rsid w:val="00EF66D9"/>
    <w:rsid w:val="00EF68E3"/>
    <w:rsid w:val="00EF6BA5"/>
    <w:rsid w:val="00EF780D"/>
    <w:rsid w:val="00EF7A98"/>
    <w:rsid w:val="00F0267E"/>
    <w:rsid w:val="00F071B2"/>
    <w:rsid w:val="00F07D8D"/>
    <w:rsid w:val="00F10598"/>
    <w:rsid w:val="00F11940"/>
    <w:rsid w:val="00F11B47"/>
    <w:rsid w:val="00F159C8"/>
    <w:rsid w:val="00F2088F"/>
    <w:rsid w:val="00F23157"/>
    <w:rsid w:val="00F2412D"/>
    <w:rsid w:val="00F24971"/>
    <w:rsid w:val="00F25D1A"/>
    <w:rsid w:val="00F25D8D"/>
    <w:rsid w:val="00F3069C"/>
    <w:rsid w:val="00F3603E"/>
    <w:rsid w:val="00F42776"/>
    <w:rsid w:val="00F44CCB"/>
    <w:rsid w:val="00F474C9"/>
    <w:rsid w:val="00F5126B"/>
    <w:rsid w:val="00F5376F"/>
    <w:rsid w:val="00F54EA3"/>
    <w:rsid w:val="00F6035F"/>
    <w:rsid w:val="00F606E9"/>
    <w:rsid w:val="00F61675"/>
    <w:rsid w:val="00F6686B"/>
    <w:rsid w:val="00F67F74"/>
    <w:rsid w:val="00F712B3"/>
    <w:rsid w:val="00F71E9F"/>
    <w:rsid w:val="00F73DE3"/>
    <w:rsid w:val="00F744BF"/>
    <w:rsid w:val="00F7632C"/>
    <w:rsid w:val="00F76518"/>
    <w:rsid w:val="00F77219"/>
    <w:rsid w:val="00F81A61"/>
    <w:rsid w:val="00F84DD2"/>
    <w:rsid w:val="00F8563C"/>
    <w:rsid w:val="00F874A8"/>
    <w:rsid w:val="00F92556"/>
    <w:rsid w:val="00F95439"/>
    <w:rsid w:val="00F95C35"/>
    <w:rsid w:val="00FA178A"/>
    <w:rsid w:val="00FA26C7"/>
    <w:rsid w:val="00FA36D5"/>
    <w:rsid w:val="00FA4361"/>
    <w:rsid w:val="00FA503E"/>
    <w:rsid w:val="00FA7416"/>
    <w:rsid w:val="00FB0872"/>
    <w:rsid w:val="00FB2A8E"/>
    <w:rsid w:val="00FB54CC"/>
    <w:rsid w:val="00FC3FF1"/>
    <w:rsid w:val="00FC59D1"/>
    <w:rsid w:val="00FC7B89"/>
    <w:rsid w:val="00FD1A37"/>
    <w:rsid w:val="00FD4E5B"/>
    <w:rsid w:val="00FE16ED"/>
    <w:rsid w:val="00FE3065"/>
    <w:rsid w:val="00FE4EE0"/>
    <w:rsid w:val="00FF0F9A"/>
    <w:rsid w:val="00FF582E"/>
    <w:rsid w:val="00FF76FF"/>
    <w:rsid w:val="00FF7B7D"/>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87"/>
    <o:shapelayout v:ext="edit">
      <o:idmap v:ext="edit" data="1"/>
    </o:shapelayout>
  </w:shapeDefaults>
  <w:decimalSymbol w:val=","/>
  <w:listSeparator w:val=";"/>
  <w14:docId w14:val="200E15ED"/>
  <w15:docId w15:val="{42331EBA-6846-472C-B04F-FCDFB1C31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 w:unhideWhenUsed="1"/>
    <w:lsdException w:name="annotation text" w:semiHidden="1" w:uiPriority="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uiPriority="99"/>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uiPriority="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WMOBodyText"/>
    <w:qFormat/>
    <w:rsid w:val="00B62F03"/>
    <w:pPr>
      <w:tabs>
        <w:tab w:val="left" w:pos="1134"/>
      </w:tabs>
      <w:jc w:val="both"/>
    </w:pPr>
    <w:rPr>
      <w:rFonts w:ascii="Verdana" w:eastAsia="Arial" w:hAnsi="Verdana" w:cs="Arial"/>
      <w:lang w:val="en-GB" w:eastAsia="en-US"/>
    </w:rPr>
  </w:style>
  <w:style w:type="paragraph" w:styleId="Heading1">
    <w:name w:val="heading 1"/>
    <w:next w:val="WMOBodyText"/>
    <w:link w:val="Heading1Char"/>
    <w:qFormat/>
    <w:rsid w:val="001D3CFB"/>
    <w:pPr>
      <w:keepNext/>
      <w:keepLines/>
      <w:spacing w:before="360" w:after="120"/>
      <w:jc w:val="center"/>
      <w:outlineLvl w:val="0"/>
    </w:pPr>
    <w:rPr>
      <w:rFonts w:ascii="Verdana" w:eastAsia="Verdana" w:hAnsi="Verdana" w:cs="Verdana"/>
      <w:b/>
      <w:bCs/>
      <w:kern w:val="32"/>
      <w:sz w:val="24"/>
      <w:szCs w:val="24"/>
      <w:lang w:val="en-GB"/>
    </w:rPr>
  </w:style>
  <w:style w:type="paragraph" w:styleId="Heading2">
    <w:name w:val="heading 2"/>
    <w:next w:val="WMOBodyText"/>
    <w:link w:val="Heading2Char"/>
    <w:uiPriority w:val="9"/>
    <w:qFormat/>
    <w:rsid w:val="001D3CFB"/>
    <w:pPr>
      <w:keepNext/>
      <w:keepLines/>
      <w:spacing w:before="360" w:after="360"/>
      <w:jc w:val="center"/>
      <w:outlineLvl w:val="1"/>
    </w:pPr>
    <w:rPr>
      <w:rFonts w:ascii="Verdana" w:eastAsia="Verdana" w:hAnsi="Verdana" w:cs="Verdana"/>
      <w:b/>
      <w:bCs/>
      <w:iCs/>
      <w:sz w:val="22"/>
      <w:szCs w:val="22"/>
      <w:lang w:val="en-GB"/>
    </w:rPr>
  </w:style>
  <w:style w:type="paragraph" w:styleId="Heading3">
    <w:name w:val="heading 3"/>
    <w:next w:val="WMOBodyText"/>
    <w:link w:val="Heading3Char"/>
    <w:qFormat/>
    <w:rsid w:val="001D3CFB"/>
    <w:pPr>
      <w:keepNext/>
      <w:keepLines/>
      <w:tabs>
        <w:tab w:val="left" w:pos="1134"/>
      </w:tabs>
      <w:spacing w:before="360" w:after="360"/>
      <w:outlineLvl w:val="2"/>
    </w:pPr>
    <w:rPr>
      <w:rFonts w:ascii="Verdana" w:eastAsia="Verdana" w:hAnsi="Verdana" w:cs="Verdana"/>
      <w:b/>
      <w:bCs/>
      <w:lang w:val="en-GB"/>
    </w:rPr>
  </w:style>
  <w:style w:type="paragraph" w:styleId="Heading4">
    <w:name w:val="heading 4"/>
    <w:next w:val="WMOBodyText"/>
    <w:link w:val="Heading4Char"/>
    <w:uiPriority w:val="9"/>
    <w:qFormat/>
    <w:rsid w:val="00A530E4"/>
    <w:pPr>
      <w:keepNext/>
      <w:keepLines/>
      <w:spacing w:before="360"/>
      <w:ind w:left="1134" w:hanging="1134"/>
      <w:outlineLvl w:val="3"/>
    </w:pPr>
    <w:rPr>
      <w:rFonts w:ascii="Verdana" w:eastAsia="Verdana" w:hAnsi="Verdana" w:cs="Verdana"/>
      <w:b/>
      <w:i/>
      <w:lang w:val="en-GB"/>
    </w:rPr>
  </w:style>
  <w:style w:type="paragraph" w:styleId="Heading5">
    <w:name w:val="heading 5"/>
    <w:basedOn w:val="Normal"/>
    <w:next w:val="Normal"/>
    <w:link w:val="Heading5Char"/>
    <w:uiPriority w:val="9"/>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link w:val="Heading6Char"/>
    <w:uiPriority w:val="9"/>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link w:val="Heading7Char"/>
    <w:uiPriority w:val="9"/>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link w:val="Heading8Char"/>
    <w:uiPriority w:val="9"/>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link w:val="Heading9Char"/>
    <w:uiPriority w:val="9"/>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uiPriority w:val="99"/>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uiPriority w:val="39"/>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sz w:val="28"/>
      <w:szCs w:val="28"/>
      <w:lang w:val="fr-CH" w:eastAsia="zh-CN"/>
    </w:rPr>
  </w:style>
  <w:style w:type="character" w:customStyle="1" w:styleId="Heading2Char">
    <w:name w:val="Heading 2 Char"/>
    <w:link w:val="Heading2"/>
    <w:uiPriority w:val="9"/>
    <w:locked/>
    <w:rsid w:val="001D3CFB"/>
    <w:rPr>
      <w:rFonts w:ascii="Verdana" w:eastAsia="Verdana" w:hAnsi="Verdana" w:cs="Verdana"/>
      <w:b/>
      <w:bCs/>
      <w:iCs/>
      <w:sz w:val="22"/>
      <w:szCs w:val="22"/>
      <w:lang w:val="en-GB"/>
    </w:rPr>
  </w:style>
  <w:style w:type="paragraph" w:styleId="Footer">
    <w:name w:val="footer"/>
    <w:basedOn w:val="Normal"/>
    <w:link w:val="FooterChar"/>
    <w:uiPriority w:val="99"/>
    <w:rsid w:val="008A71EB"/>
    <w:pPr>
      <w:tabs>
        <w:tab w:val="center" w:pos="4320"/>
        <w:tab w:val="right" w:pos="8640"/>
      </w:tabs>
    </w:pPr>
  </w:style>
  <w:style w:type="paragraph" w:styleId="BalloonText">
    <w:name w:val="Balloon Text"/>
    <w:basedOn w:val="Normal"/>
    <w:link w:val="BalloonTextChar"/>
    <w:uiPriority w:val="99"/>
    <w:semiHidden/>
    <w:rsid w:val="005A6BCE"/>
    <w:rPr>
      <w:rFonts w:ascii="Tahoma" w:hAnsi="Tahoma" w:cs="Tahoma"/>
      <w:sz w:val="16"/>
      <w:szCs w:val="16"/>
    </w:rPr>
  </w:style>
  <w:style w:type="paragraph" w:styleId="DocumentMap">
    <w:name w:val="Document Map"/>
    <w:basedOn w:val="Normal"/>
    <w:link w:val="DocumentMapChar"/>
    <w:uiPriority w:val="99"/>
    <w:semiHidden/>
    <w:rsid w:val="002A7FA1"/>
    <w:pPr>
      <w:shd w:val="clear" w:color="auto" w:fill="000080"/>
    </w:pPr>
    <w:rPr>
      <w:rFonts w:ascii="Tahoma" w:hAnsi="Tahoma" w:cs="Tahoma"/>
    </w:rPr>
  </w:style>
  <w:style w:type="paragraph" w:styleId="TOC3">
    <w:name w:val="toc 3"/>
    <w:basedOn w:val="Normal"/>
    <w:next w:val="Normal"/>
    <w:autoRedefine/>
    <w:uiPriority w:val="39"/>
    <w:rsid w:val="00E91F0F"/>
    <w:pPr>
      <w:ind w:left="400"/>
    </w:pPr>
  </w:style>
  <w:style w:type="paragraph" w:styleId="TOC1">
    <w:name w:val="toc 1"/>
    <w:basedOn w:val="Normal"/>
    <w:next w:val="Normal"/>
    <w:autoRedefine/>
    <w:uiPriority w:val="39"/>
    <w:rsid w:val="00E91F0F"/>
  </w:style>
  <w:style w:type="paragraph" w:styleId="TOC2">
    <w:name w:val="toc 2"/>
    <w:basedOn w:val="Normal"/>
    <w:next w:val="Normal"/>
    <w:autoRedefine/>
    <w:uiPriority w:val="39"/>
    <w:rsid w:val="00E91F0F"/>
    <w:pPr>
      <w:ind w:left="200"/>
    </w:pPr>
  </w:style>
  <w:style w:type="character" w:styleId="FollowedHyperlink">
    <w:name w:val="FollowedHyperlink"/>
    <w:basedOn w:val="DefaultParagraphFont"/>
    <w:uiPriority w:val="99"/>
    <w:rsid w:val="002F006A"/>
    <w:rPr>
      <w:color w:val="0000FF"/>
      <w:u w:val="none"/>
    </w:rPr>
  </w:style>
  <w:style w:type="paragraph" w:customStyle="1" w:styleId="WMOSubTitle1">
    <w:name w:val="WMO_SubTitle1"/>
    <w:basedOn w:val="Heading4"/>
    <w:next w:val="WMOBodyText"/>
    <w:rsid w:val="004D497E"/>
    <w:pPr>
      <w:spacing w:before="280"/>
      <w:ind w:left="0" w:firstLine="0"/>
    </w:p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link w:val="WMOBodyTextCharChar"/>
    <w:qFormat/>
    <w:rsid w:val="00C4470F"/>
    <w:pPr>
      <w:spacing w:before="240"/>
    </w:pPr>
    <w:rPr>
      <w:rFonts w:ascii="Verdana" w:eastAsia="Verdana" w:hAnsi="Verdana" w:cs="Verdana"/>
      <w:lang w:val="en-GB"/>
    </w:rPr>
  </w:style>
  <w:style w:type="paragraph" w:customStyle="1" w:styleId="WMOSubTitle2">
    <w:name w:val="WMO_SubTitle2"/>
    <w:basedOn w:val="Heading5"/>
    <w:next w:val="WMOBodyText"/>
    <w:rsid w:val="00A530E4"/>
    <w:pPr>
      <w:keepNext/>
      <w:keepLines/>
      <w:tabs>
        <w:tab w:val="clear" w:pos="1080"/>
      </w:tabs>
      <w:spacing w:before="280"/>
      <w:ind w:left="0" w:firstLine="0"/>
      <w:jc w:val="left"/>
    </w:pPr>
    <w:rPr>
      <w:rFonts w:eastAsia="Verdana" w:cs="Verdana"/>
      <w:szCs w:val="20"/>
    </w:rPr>
  </w:style>
  <w:style w:type="paragraph" w:styleId="BodyText0">
    <w:name w:val="Body Text"/>
    <w:basedOn w:val="Normal"/>
    <w:link w:val="BodyTextChar0"/>
    <w:uiPriority w:val="1"/>
    <w:qFormat/>
    <w:rsid w:val="00831751"/>
    <w:pPr>
      <w:tabs>
        <w:tab w:val="clear" w:pos="1134"/>
        <w:tab w:val="left" w:pos="1140"/>
      </w:tabs>
      <w:jc w:val="center"/>
    </w:pPr>
    <w:rPr>
      <w:rFonts w:eastAsia="SimSun"/>
      <w:b/>
      <w:bCs/>
      <w:sz w:val="24"/>
      <w:szCs w:val="24"/>
      <w:lang w:eastAsia="zh-CN"/>
    </w:rPr>
  </w:style>
  <w:style w:type="character" w:styleId="FootnoteReference">
    <w:name w:val="footnote reference"/>
    <w:basedOn w:val="DefaultParagraphFont"/>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uiPriority w:val="1"/>
    <w:rsid w:val="00BD5420"/>
    <w:pPr>
      <w:spacing w:before="60"/>
      <w:ind w:left="142" w:hanging="142"/>
      <w:jc w:val="left"/>
    </w:pPr>
    <w:rPr>
      <w:sz w:val="18"/>
      <w:szCs w:val="18"/>
    </w:rPr>
  </w:style>
  <w:style w:type="character" w:styleId="CommentReference">
    <w:name w:val="annotation reference"/>
    <w:basedOn w:val="DefaultParagraphFont"/>
    <w:semiHidden/>
    <w:rsid w:val="00DD35CC"/>
    <w:rPr>
      <w:sz w:val="16"/>
      <w:szCs w:val="16"/>
    </w:rPr>
  </w:style>
  <w:style w:type="paragraph" w:styleId="CommentText">
    <w:name w:val="annotation text"/>
    <w:basedOn w:val="Normal"/>
    <w:link w:val="CommentTextChar"/>
    <w:uiPriority w:val="1"/>
    <w:rsid w:val="00DD35CC"/>
  </w:style>
  <w:style w:type="paragraph" w:styleId="CommentSubject">
    <w:name w:val="annotation subject"/>
    <w:basedOn w:val="CommentText"/>
    <w:next w:val="CommentText"/>
    <w:link w:val="CommentSubjectChar"/>
    <w:uiPriority w:val="99"/>
    <w:semiHidden/>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link w:val="TitleChar"/>
    <w:uiPriority w:val="10"/>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rsid w:val="001D3CFB"/>
    <w:rPr>
      <w:rFonts w:ascii="Verdana" w:eastAsia="Verdana" w:hAnsi="Verdana" w:cs="Verdana"/>
      <w:b/>
      <w:bCs/>
      <w:kern w:val="32"/>
      <w:sz w:val="24"/>
      <w:szCs w:val="24"/>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C4470F"/>
    <w:rPr>
      <w:rFonts w:ascii="Verdana" w:eastAsia="Verdana" w:hAnsi="Verdana" w:cs="Verdana"/>
      <w:lang w:val="en-GB"/>
    </w:rPr>
  </w:style>
  <w:style w:type="table" w:styleId="TableGrid">
    <w:name w:val="Table Grid"/>
    <w:basedOn w:val="TableNormal"/>
    <w:uiPriority w:val="39"/>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uiPriority w:val="9"/>
    <w:rsid w:val="00A530E4"/>
    <w:rPr>
      <w:rFonts w:ascii="Verdana" w:eastAsia="Verdana" w:hAnsi="Verdana" w:cs="Verdana"/>
      <w:b/>
      <w:i/>
      <w:lang w:val="en-GB"/>
    </w:r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character" w:customStyle="1" w:styleId="BalloonTextChar">
    <w:name w:val="Balloon Text Char"/>
    <w:basedOn w:val="DefaultParagraphFont"/>
    <w:link w:val="BalloonText"/>
    <w:uiPriority w:val="99"/>
    <w:semiHidden/>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clear" w:pos="1134"/>
        <w:tab w:val="left" w:pos="851"/>
        <w:tab w:val="right" w:leader="dot" w:pos="9639"/>
      </w:tabs>
      <w:spacing w:before="360" w:after="120"/>
      <w:ind w:left="851" w:right="567" w:hanging="851"/>
      <w:jc w:val="left"/>
    </w:pPr>
    <w:rPr>
      <w:rFonts w:eastAsia="MS Mincho"/>
      <w:b/>
      <w:smallCaps/>
      <w:noProof/>
      <w:szCs w:val="22"/>
    </w:rPr>
  </w:style>
  <w:style w:type="paragraph" w:customStyle="1" w:styleId="WMOTOC1">
    <w:name w:val="WMO_TOC1"/>
    <w:basedOn w:val="TOC1"/>
    <w:next w:val="WMOTOC2"/>
    <w:qFormat/>
    <w:rsid w:val="00B165E6"/>
    <w:pPr>
      <w:tabs>
        <w:tab w:val="clear" w:pos="1134"/>
      </w:tabs>
      <w:spacing w:before="120" w:after="120"/>
      <w:jc w:val="left"/>
    </w:pPr>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FootnoteTextChar">
    <w:name w:val="Footnote Text Char"/>
    <w:basedOn w:val="DefaultParagraphFont"/>
    <w:link w:val="FootnoteText"/>
    <w:uiPriority w:val="1"/>
    <w:rsid w:val="00BD5420"/>
    <w:rPr>
      <w:rFonts w:ascii="Verdana" w:eastAsia="Arial" w:hAnsi="Verdana" w:cs="Arial"/>
      <w:sz w:val="18"/>
      <w:szCs w:val="18"/>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character" w:customStyle="1" w:styleId="BodyTextChar0">
    <w:name w:val="Body Text Char"/>
    <w:basedOn w:val="DefaultParagraphFont"/>
    <w:link w:val="BodyText0"/>
    <w:uiPriority w:val="1"/>
    <w:rsid w:val="006F4B29"/>
    <w:rPr>
      <w:rFonts w:ascii="Verdana" w:eastAsia="SimSun" w:hAnsi="Verdana" w:cs="Arial"/>
      <w:b/>
      <w:bCs/>
      <w:sz w:val="24"/>
      <w:szCs w:val="24"/>
      <w:lang w:val="en-GB" w:eastAsia="zh-CN"/>
    </w:rPr>
  </w:style>
  <w:style w:type="character" w:styleId="PlaceholderText">
    <w:name w:val="Placeholder Text"/>
    <w:basedOn w:val="DefaultParagraphFont"/>
    <w:rsid w:val="00BD5420"/>
    <w:rPr>
      <w:color w:val="808080"/>
    </w:rPr>
  </w:style>
  <w:style w:type="paragraph" w:customStyle="1" w:styleId="WMOIndent1">
    <w:name w:val="WMO_Indent1"/>
    <w:basedOn w:val="WMOBodyText"/>
    <w:rsid w:val="00814CC6"/>
    <w:pPr>
      <w:tabs>
        <w:tab w:val="left" w:pos="567"/>
      </w:tabs>
      <w:ind w:left="567" w:hanging="567"/>
    </w:pPr>
    <w:rPr>
      <w:rFonts w:eastAsia="Times New Roman" w:cs="Times New Roman"/>
    </w:rPr>
  </w:style>
  <w:style w:type="paragraph" w:customStyle="1" w:styleId="WMOIndent2">
    <w:name w:val="WMO_Indent2"/>
    <w:basedOn w:val="WMOIndent1"/>
    <w:rsid w:val="00814CC6"/>
    <w:pPr>
      <w:tabs>
        <w:tab w:val="clear" w:pos="567"/>
        <w:tab w:val="left" w:pos="1134"/>
      </w:tabs>
      <w:ind w:left="1134"/>
    </w:pPr>
  </w:style>
  <w:style w:type="paragraph" w:customStyle="1" w:styleId="WMOIndent3">
    <w:name w:val="WMO_Indent3"/>
    <w:basedOn w:val="WMOIndent2"/>
    <w:rsid w:val="00814CC6"/>
    <w:pPr>
      <w:tabs>
        <w:tab w:val="clear" w:pos="1134"/>
        <w:tab w:val="left" w:pos="1701"/>
      </w:tabs>
      <w:ind w:left="1701"/>
    </w:pPr>
  </w:style>
  <w:style w:type="paragraph" w:customStyle="1" w:styleId="WMONote">
    <w:name w:val="WMO_Note"/>
    <w:basedOn w:val="WMOBodyText"/>
    <w:qFormat/>
    <w:rsid w:val="00B62F03"/>
    <w:pPr>
      <w:tabs>
        <w:tab w:val="left" w:pos="1418"/>
      </w:tabs>
      <w:ind w:left="1418" w:hanging="1418"/>
    </w:pPr>
    <w:rPr>
      <w:bCs/>
      <w:sz w:val="18"/>
      <w:szCs w:val="18"/>
    </w:rPr>
  </w:style>
  <w:style w:type="paragraph" w:customStyle="1" w:styleId="WMOIndent4">
    <w:name w:val="WMO_Indent4"/>
    <w:basedOn w:val="WMOIndent3"/>
    <w:qFormat/>
    <w:rsid w:val="00814CC6"/>
    <w:pPr>
      <w:tabs>
        <w:tab w:val="clear" w:pos="1701"/>
        <w:tab w:val="left" w:pos="2268"/>
      </w:tabs>
      <w:ind w:left="2268"/>
    </w:pPr>
  </w:style>
  <w:style w:type="paragraph" w:customStyle="1" w:styleId="WMOComment">
    <w:name w:val="WMO_Comment"/>
    <w:basedOn w:val="WMOBodyText"/>
    <w:next w:val="WMOBodyText"/>
    <w:link w:val="WMOCommentChar"/>
    <w:qFormat/>
    <w:rsid w:val="003245D3"/>
    <w:rPr>
      <w:i/>
    </w:rPr>
  </w:style>
  <w:style w:type="character" w:customStyle="1" w:styleId="WMOCommentChar">
    <w:name w:val="WMO_Comment Char"/>
    <w:basedOn w:val="WMOBodyTextCharChar"/>
    <w:link w:val="WMOComment"/>
    <w:rsid w:val="003245D3"/>
    <w:rPr>
      <w:rFonts w:ascii="Verdana" w:eastAsia="Verdana" w:hAnsi="Verdana" w:cs="Verdana"/>
      <w:i/>
      <w:lang w:val="en-GB"/>
    </w:rPr>
  </w:style>
  <w:style w:type="character" w:customStyle="1" w:styleId="Heading3Char">
    <w:name w:val="Heading 3 Char"/>
    <w:basedOn w:val="DefaultParagraphFont"/>
    <w:link w:val="Heading3"/>
    <w:rsid w:val="00A80767"/>
    <w:rPr>
      <w:rFonts w:ascii="Verdana" w:eastAsia="Verdana" w:hAnsi="Verdana" w:cs="Verdana"/>
      <w:b/>
      <w:bCs/>
      <w:lang w:val="en-GB"/>
    </w:rPr>
  </w:style>
  <w:style w:type="character" w:styleId="UnresolvedMention">
    <w:name w:val="Unresolved Mention"/>
    <w:basedOn w:val="DefaultParagraphFont"/>
    <w:uiPriority w:val="99"/>
    <w:semiHidden/>
    <w:unhideWhenUsed/>
    <w:rsid w:val="00D2231A"/>
    <w:rPr>
      <w:color w:val="605E5C"/>
      <w:shd w:val="clear" w:color="auto" w:fill="E1DFDD"/>
    </w:rPr>
  </w:style>
  <w:style w:type="character" w:customStyle="1" w:styleId="normaltextrun">
    <w:name w:val="normaltextrun"/>
    <w:basedOn w:val="DefaultParagraphFont"/>
    <w:rsid w:val="008E5AB5"/>
  </w:style>
  <w:style w:type="character" w:customStyle="1" w:styleId="eop">
    <w:name w:val="eop"/>
    <w:basedOn w:val="DefaultParagraphFont"/>
    <w:rsid w:val="008E5AB5"/>
  </w:style>
  <w:style w:type="paragraph" w:styleId="ListParagraph">
    <w:name w:val="List Paragraph"/>
    <w:basedOn w:val="Normal"/>
    <w:uiPriority w:val="34"/>
    <w:qFormat/>
    <w:rsid w:val="0060666C"/>
    <w:pPr>
      <w:tabs>
        <w:tab w:val="clear" w:pos="1134"/>
      </w:tabs>
      <w:ind w:left="720"/>
      <w:contextualSpacing/>
      <w:jc w:val="left"/>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547E4B"/>
    <w:rPr>
      <w:rFonts w:ascii="Verdana" w:eastAsia="Arial" w:hAnsi="Verdana" w:cs="Arial"/>
      <w:lang w:val="en-GB" w:eastAsia="en-US"/>
    </w:rPr>
  </w:style>
  <w:style w:type="character" w:customStyle="1" w:styleId="FooterChar">
    <w:name w:val="Footer Char"/>
    <w:basedOn w:val="DefaultParagraphFont"/>
    <w:link w:val="Footer"/>
    <w:uiPriority w:val="99"/>
    <w:rsid w:val="00547E4B"/>
    <w:rPr>
      <w:rFonts w:ascii="Verdana" w:eastAsia="Arial" w:hAnsi="Verdana" w:cs="Arial"/>
      <w:lang w:val="en-GB" w:eastAsia="en-US"/>
    </w:rPr>
  </w:style>
  <w:style w:type="character" w:customStyle="1" w:styleId="CommentTextChar">
    <w:name w:val="Comment Text Char"/>
    <w:basedOn w:val="DefaultParagraphFont"/>
    <w:link w:val="CommentText"/>
    <w:uiPriority w:val="1"/>
    <w:rsid w:val="00547E4B"/>
    <w:rPr>
      <w:rFonts w:ascii="Verdana" w:eastAsia="Arial" w:hAnsi="Verdana" w:cs="Arial"/>
      <w:lang w:val="en-GB" w:eastAsia="en-US"/>
    </w:rPr>
  </w:style>
  <w:style w:type="paragraph" w:customStyle="1" w:styleId="Heading10">
    <w:name w:val="Heading_1"/>
    <w:qFormat/>
    <w:rsid w:val="00547E4B"/>
    <w:pPr>
      <w:keepNext/>
      <w:spacing w:before="480" w:after="200" w:line="276" w:lineRule="auto"/>
      <w:ind w:left="1123" w:hanging="1123"/>
      <w:outlineLvl w:val="3"/>
    </w:pPr>
    <w:rPr>
      <w:rFonts w:ascii="Verdana" w:eastAsiaTheme="minorHAnsi" w:hAnsi="Verdana" w:cstheme="majorBidi"/>
      <w:b/>
      <w:bCs/>
      <w:color w:val="000000" w:themeColor="text1"/>
      <w:lang w:val="en-GB"/>
    </w:rPr>
  </w:style>
  <w:style w:type="paragraph" w:customStyle="1" w:styleId="Heading20">
    <w:name w:val="Heading_2"/>
    <w:qFormat/>
    <w:rsid w:val="00547E4B"/>
    <w:pPr>
      <w:keepNext/>
      <w:tabs>
        <w:tab w:val="left" w:pos="1120"/>
      </w:tabs>
      <w:spacing w:before="240" w:after="240" w:line="240" w:lineRule="exact"/>
      <w:ind w:left="1123" w:hanging="1123"/>
      <w:outlineLvl w:val="4"/>
    </w:pPr>
    <w:rPr>
      <w:rFonts w:ascii="Verdana" w:eastAsia="Arial" w:hAnsi="Verdana" w:cs="Arial"/>
      <w:b/>
      <w:bCs/>
      <w:color w:val="000000" w:themeColor="text1"/>
      <w:lang w:val="en-GB" w:eastAsia="en-US"/>
    </w:rPr>
  </w:style>
  <w:style w:type="paragraph" w:customStyle="1" w:styleId="Chapterhead">
    <w:name w:val="Chapter head"/>
    <w:qFormat/>
    <w:rsid w:val="00547E4B"/>
    <w:pPr>
      <w:keepNext/>
      <w:spacing w:after="560" w:line="280" w:lineRule="exact"/>
      <w:outlineLvl w:val="2"/>
    </w:pPr>
    <w:rPr>
      <w:rFonts w:ascii="Verdana" w:eastAsia="Arial" w:hAnsi="Verdana" w:cs="Arial"/>
      <w:b/>
      <w:color w:val="000000" w:themeColor="text1"/>
      <w:sz w:val="24"/>
      <w:szCs w:val="22"/>
      <w:lang w:val="en-GB" w:eastAsia="en-US"/>
    </w:rPr>
  </w:style>
  <w:style w:type="paragraph" w:customStyle="1" w:styleId="Bodytext1">
    <w:name w:val="Body_text"/>
    <w:basedOn w:val="Normal"/>
    <w:uiPriority w:val="1"/>
    <w:qFormat/>
    <w:rsid w:val="00547E4B"/>
    <w:pPr>
      <w:tabs>
        <w:tab w:val="clear" w:pos="1134"/>
        <w:tab w:val="left" w:pos="1120"/>
      </w:tabs>
      <w:spacing w:after="240" w:line="240" w:lineRule="exact"/>
    </w:pPr>
    <w:rPr>
      <w:rFonts w:eastAsiaTheme="minorEastAsia" w:cstheme="majorBidi"/>
      <w:color w:val="000000" w:themeColor="text1"/>
      <w:lang w:val="en-CA" w:eastAsia="zh-TW"/>
    </w:rPr>
  </w:style>
  <w:style w:type="table" w:styleId="GridTable4-Accent1">
    <w:name w:val="Grid Table 4 Accent 1"/>
    <w:basedOn w:val="TableNormal"/>
    <w:uiPriority w:val="49"/>
    <w:rsid w:val="00547E4B"/>
    <w:rPr>
      <w:rFonts w:asciiTheme="minorHAnsi" w:eastAsiaTheme="minorHAnsi" w:hAnsiTheme="minorHAnsi" w:cstheme="minorBidi"/>
      <w:sz w:val="22"/>
      <w:szCs w:val="22"/>
      <w:lang w:eastAsia="en-US"/>
    </w:rPr>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Caption">
    <w:name w:val="caption"/>
    <w:basedOn w:val="Normal"/>
    <w:next w:val="Normal"/>
    <w:uiPriority w:val="35"/>
    <w:unhideWhenUsed/>
    <w:qFormat/>
    <w:rsid w:val="00547E4B"/>
    <w:pPr>
      <w:tabs>
        <w:tab w:val="clear" w:pos="1134"/>
      </w:tabs>
      <w:spacing w:after="200"/>
      <w:jc w:val="left"/>
    </w:pPr>
    <w:rPr>
      <w:rFonts w:asciiTheme="minorHAnsi" w:eastAsiaTheme="minorHAnsi" w:hAnsiTheme="minorHAnsi" w:cstheme="minorBidi"/>
      <w:i/>
      <w:iCs/>
      <w:color w:val="1F497D" w:themeColor="text2"/>
      <w:sz w:val="18"/>
      <w:szCs w:val="18"/>
    </w:rPr>
  </w:style>
  <w:style w:type="paragraph" w:styleId="Revision">
    <w:name w:val="Revision"/>
    <w:hidden/>
    <w:uiPriority w:val="99"/>
    <w:semiHidden/>
    <w:rsid w:val="00547E4B"/>
    <w:rPr>
      <w:rFonts w:ascii="Verdana" w:eastAsia="Arial" w:hAnsi="Verdana" w:cs="Arial"/>
      <w:lang w:val="en-GB" w:eastAsia="en-US"/>
    </w:rPr>
  </w:style>
  <w:style w:type="character" w:customStyle="1" w:styleId="TitleChar">
    <w:name w:val="Title Char"/>
    <w:basedOn w:val="DefaultParagraphFont"/>
    <w:link w:val="Title"/>
    <w:uiPriority w:val="10"/>
    <w:rsid w:val="00547E4B"/>
    <w:rPr>
      <w:rFonts w:ascii="Verdana" w:eastAsia="Arial" w:hAnsi="Verdana" w:cs="Arial"/>
      <w:b/>
      <w:bCs/>
      <w:kern w:val="28"/>
      <w:sz w:val="32"/>
      <w:szCs w:val="32"/>
      <w:lang w:val="en-GB" w:eastAsia="en-US"/>
    </w:rPr>
  </w:style>
  <w:style w:type="paragraph" w:styleId="Subtitle">
    <w:name w:val="Subtitle"/>
    <w:basedOn w:val="Normal"/>
    <w:next w:val="Normal"/>
    <w:link w:val="SubtitleChar"/>
    <w:uiPriority w:val="11"/>
    <w:qFormat/>
    <w:rsid w:val="00547E4B"/>
    <w:pPr>
      <w:tabs>
        <w:tab w:val="clear" w:pos="1134"/>
      </w:tabs>
      <w:spacing w:after="200" w:line="276" w:lineRule="auto"/>
      <w:jc w:val="left"/>
    </w:pPr>
    <w:rPr>
      <w:rFonts w:eastAsiaTheme="majorEastAsia" w:cstheme="majorBidi"/>
      <w:i/>
      <w:iCs/>
      <w:color w:val="4F81BD" w:themeColor="accent1"/>
      <w:sz w:val="24"/>
      <w:szCs w:val="24"/>
      <w:lang w:val="en-CA" w:eastAsia="zh-CN"/>
    </w:rPr>
  </w:style>
  <w:style w:type="character" w:customStyle="1" w:styleId="SubtitleChar">
    <w:name w:val="Subtitle Char"/>
    <w:basedOn w:val="DefaultParagraphFont"/>
    <w:link w:val="Subtitle"/>
    <w:uiPriority w:val="11"/>
    <w:rsid w:val="00547E4B"/>
    <w:rPr>
      <w:rFonts w:ascii="Verdana" w:eastAsiaTheme="majorEastAsia" w:hAnsi="Verdana" w:cstheme="majorBidi"/>
      <w:i/>
      <w:iCs/>
      <w:color w:val="4F81BD" w:themeColor="accent1"/>
      <w:sz w:val="24"/>
      <w:szCs w:val="24"/>
      <w:lang w:val="en-CA" w:eastAsia="zh-CN"/>
    </w:rPr>
  </w:style>
  <w:style w:type="paragraph" w:customStyle="1" w:styleId="ChapterheadNOToC">
    <w:name w:val="Chapter head NO ToC"/>
    <w:basedOn w:val="Normal"/>
    <w:uiPriority w:val="1"/>
    <w:rsid w:val="00547E4B"/>
    <w:pPr>
      <w:tabs>
        <w:tab w:val="clear" w:pos="1134"/>
      </w:tabs>
      <w:spacing w:after="560" w:line="276" w:lineRule="auto"/>
      <w:jc w:val="left"/>
    </w:pPr>
    <w:rPr>
      <w:rFonts w:eastAsiaTheme="minorEastAsia" w:cstheme="majorBidi"/>
      <w:b/>
      <w:bCs/>
      <w:color w:val="000000" w:themeColor="text1"/>
      <w:sz w:val="24"/>
      <w:szCs w:val="24"/>
      <w:lang w:val="en-CA" w:eastAsia="zh-TW"/>
    </w:rPr>
  </w:style>
  <w:style w:type="paragraph" w:customStyle="1" w:styleId="COVERTITLE">
    <w:name w:val="COVER TITLE"/>
    <w:rsid w:val="00547E4B"/>
    <w:pPr>
      <w:spacing w:before="120" w:after="120" w:line="276" w:lineRule="auto"/>
      <w:outlineLvl w:val="0"/>
    </w:pPr>
    <w:rPr>
      <w:rFonts w:ascii="Verdana" w:eastAsiaTheme="minorHAnsi" w:hAnsi="Verdana" w:cstheme="majorBidi"/>
      <w:b/>
      <w:color w:val="000000" w:themeColor="text1"/>
      <w:sz w:val="36"/>
      <w:lang w:val="en-GB"/>
    </w:rPr>
  </w:style>
  <w:style w:type="paragraph" w:customStyle="1" w:styleId="COVERsubtitle">
    <w:name w:val="COVER subtitle"/>
    <w:basedOn w:val="Normal"/>
    <w:uiPriority w:val="1"/>
    <w:rsid w:val="00547E4B"/>
    <w:pPr>
      <w:tabs>
        <w:tab w:val="clear" w:pos="1134"/>
      </w:tabs>
      <w:spacing w:before="120" w:after="120" w:line="276" w:lineRule="auto"/>
      <w:jc w:val="left"/>
    </w:pPr>
    <w:rPr>
      <w:rFonts w:eastAsiaTheme="minorEastAsia" w:cstheme="majorBidi"/>
      <w:b/>
      <w:bCs/>
      <w:color w:val="000000" w:themeColor="text1"/>
      <w:sz w:val="32"/>
      <w:szCs w:val="32"/>
      <w:lang w:val="en-CA" w:eastAsia="zh-TW"/>
    </w:rPr>
  </w:style>
  <w:style w:type="paragraph" w:customStyle="1" w:styleId="COVERsub-subtitle">
    <w:name w:val="COVER sub-subtitle"/>
    <w:basedOn w:val="Normal"/>
    <w:uiPriority w:val="1"/>
    <w:rsid w:val="00547E4B"/>
    <w:pPr>
      <w:tabs>
        <w:tab w:val="clear" w:pos="1134"/>
      </w:tabs>
      <w:spacing w:before="120" w:after="120" w:line="276" w:lineRule="auto"/>
      <w:jc w:val="left"/>
    </w:pPr>
    <w:rPr>
      <w:rFonts w:eastAsiaTheme="minorEastAsia" w:cstheme="majorBidi"/>
      <w:b/>
      <w:bCs/>
      <w:color w:val="000000" w:themeColor="text1"/>
      <w:sz w:val="28"/>
      <w:szCs w:val="28"/>
      <w:lang w:val="en-CA" w:eastAsia="zh-TW"/>
    </w:rPr>
  </w:style>
  <w:style w:type="paragraph" w:customStyle="1" w:styleId="TITLEPAGE">
    <w:name w:val="TITLE PAGE"/>
    <w:basedOn w:val="Normal"/>
    <w:uiPriority w:val="1"/>
    <w:rsid w:val="00547E4B"/>
    <w:pPr>
      <w:tabs>
        <w:tab w:val="clear" w:pos="1134"/>
      </w:tabs>
      <w:spacing w:before="120" w:after="120" w:line="276" w:lineRule="auto"/>
      <w:jc w:val="left"/>
    </w:pPr>
    <w:rPr>
      <w:rFonts w:eastAsiaTheme="minorEastAsia" w:cstheme="majorBidi"/>
      <w:b/>
      <w:bCs/>
      <w:color w:val="000000" w:themeColor="text1"/>
      <w:sz w:val="32"/>
      <w:szCs w:val="32"/>
      <w:lang w:val="en-CA" w:eastAsia="zh-TW"/>
    </w:rPr>
  </w:style>
  <w:style w:type="paragraph" w:customStyle="1" w:styleId="TITLEPAGEsubtitle">
    <w:name w:val="TITLE PAGE subtitle"/>
    <w:basedOn w:val="Normal"/>
    <w:uiPriority w:val="1"/>
    <w:rsid w:val="00547E4B"/>
    <w:pPr>
      <w:tabs>
        <w:tab w:val="clear" w:pos="1134"/>
      </w:tabs>
      <w:spacing w:before="120" w:after="120" w:line="276" w:lineRule="auto"/>
      <w:jc w:val="left"/>
    </w:pPr>
    <w:rPr>
      <w:rFonts w:eastAsiaTheme="minorEastAsia" w:cstheme="majorBidi"/>
      <w:b/>
      <w:bCs/>
      <w:color w:val="000000" w:themeColor="text1"/>
      <w:sz w:val="28"/>
      <w:szCs w:val="28"/>
      <w:lang w:val="en-CA" w:eastAsia="zh-TW"/>
    </w:rPr>
  </w:style>
  <w:style w:type="paragraph" w:customStyle="1" w:styleId="TITLEPAGEsub-subtitle">
    <w:name w:val="TITLE PAGE sub-subtitle"/>
    <w:basedOn w:val="Normal"/>
    <w:uiPriority w:val="1"/>
    <w:rsid w:val="00547E4B"/>
    <w:pPr>
      <w:tabs>
        <w:tab w:val="clear" w:pos="1134"/>
      </w:tabs>
      <w:spacing w:before="120" w:after="120" w:line="276" w:lineRule="auto"/>
      <w:jc w:val="left"/>
    </w:pPr>
    <w:rPr>
      <w:rFonts w:eastAsiaTheme="minorEastAsia" w:cstheme="majorBidi"/>
      <w:b/>
      <w:bCs/>
      <w:color w:val="000000" w:themeColor="text1"/>
      <w:sz w:val="24"/>
      <w:szCs w:val="24"/>
      <w:lang w:val="en-CA" w:eastAsia="zh-TW"/>
    </w:rPr>
  </w:style>
  <w:style w:type="paragraph" w:customStyle="1" w:styleId="ZZZZZZZZZZZZZZZZZZZZZZZZZZ">
    <w:name w:val="ZZZZZZZZZZZZZZZZZZZZZZZZZZ"/>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Covertitle0">
    <w:name w:val="Cover title"/>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OversetWarningHead">
    <w:name w:val="Overset Warning Head"/>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OversetWarningDetails">
    <w:name w:val="Overset Warning Details"/>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Parttitle">
    <w:name w:val="Part title"/>
    <w:rsid w:val="00547E4B"/>
    <w:pPr>
      <w:keepNext/>
      <w:spacing w:after="560" w:line="300" w:lineRule="exact"/>
      <w:outlineLvl w:val="1"/>
    </w:pPr>
    <w:rPr>
      <w:rFonts w:ascii="Verdana" w:eastAsiaTheme="minorHAnsi" w:hAnsi="Verdana" w:cstheme="majorBidi"/>
      <w:b/>
      <w:color w:val="000000" w:themeColor="text1"/>
      <w:sz w:val="26"/>
      <w:lang w:val="en-GB"/>
    </w:rPr>
  </w:style>
  <w:style w:type="paragraph" w:customStyle="1" w:styleId="Titledividerpage">
    <w:name w:val="Title divider page"/>
    <w:qFormat/>
    <w:rsid w:val="00547E4B"/>
    <w:pPr>
      <w:spacing w:after="200"/>
    </w:pPr>
    <w:rPr>
      <w:rFonts w:ascii="Verdana" w:eastAsiaTheme="minorHAnsi" w:hAnsi="Verdana" w:cstheme="majorBidi"/>
      <w:b/>
      <w:color w:val="000000" w:themeColor="text1"/>
      <w:sz w:val="34"/>
      <w:lang w:val="fr-CH"/>
    </w:rPr>
  </w:style>
  <w:style w:type="paragraph" w:customStyle="1" w:styleId="Headingcentred">
    <w:name w:val="Heading_centred"/>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ChapterheadNOTrunninghead">
    <w:name w:val="Chapter head NOT running head"/>
    <w:rsid w:val="00547E4B"/>
    <w:pPr>
      <w:keepNext/>
      <w:spacing w:after="560" w:line="280" w:lineRule="exact"/>
      <w:outlineLvl w:val="2"/>
    </w:pPr>
    <w:rPr>
      <w:rFonts w:ascii="Verdana" w:eastAsiaTheme="minorHAnsi" w:hAnsi="Verdana" w:cstheme="majorBidi"/>
      <w:b/>
      <w:color w:val="000000" w:themeColor="text1"/>
      <w:sz w:val="24"/>
      <w:lang w:val="en-GB"/>
    </w:rPr>
  </w:style>
  <w:style w:type="paragraph" w:customStyle="1" w:styleId="Chaptersubhead">
    <w:name w:val="Chapter_subhead"/>
    <w:basedOn w:val="Normal"/>
    <w:uiPriority w:val="1"/>
    <w:rsid w:val="00547E4B"/>
    <w:pPr>
      <w:tabs>
        <w:tab w:val="clear" w:pos="1134"/>
      </w:tabs>
      <w:spacing w:after="240" w:line="276" w:lineRule="auto"/>
      <w:jc w:val="left"/>
    </w:pPr>
    <w:rPr>
      <w:rFonts w:eastAsiaTheme="minorEastAsia" w:cstheme="majorBidi"/>
      <w:i/>
      <w:iCs/>
      <w:color w:val="000000" w:themeColor="text1"/>
      <w:sz w:val="22"/>
      <w:szCs w:val="22"/>
      <w:lang w:val="en-CA" w:eastAsia="zh-TW"/>
    </w:rPr>
  </w:style>
  <w:style w:type="paragraph" w:customStyle="1" w:styleId="Heading1NOindent">
    <w:name w:val="Heading_1 NO indent"/>
    <w:basedOn w:val="Heading1NOToC"/>
    <w:uiPriority w:val="1"/>
    <w:qFormat/>
    <w:rsid w:val="00547E4B"/>
    <w:pPr>
      <w:ind w:left="0" w:firstLine="0"/>
    </w:pPr>
    <w:rPr>
      <w:lang w:val="en-US"/>
    </w:rPr>
  </w:style>
  <w:style w:type="paragraph" w:customStyle="1" w:styleId="Heading1NOToC">
    <w:name w:val="Heading_1 NO ToC"/>
    <w:basedOn w:val="Normal"/>
    <w:uiPriority w:val="1"/>
    <w:rsid w:val="00547E4B"/>
    <w:pPr>
      <w:keepNext/>
      <w:tabs>
        <w:tab w:val="clear" w:pos="1134"/>
        <w:tab w:val="left" w:pos="1120"/>
      </w:tabs>
      <w:spacing w:before="480" w:after="240" w:line="240" w:lineRule="exact"/>
      <w:ind w:left="1123" w:hanging="1123"/>
      <w:jc w:val="left"/>
      <w:outlineLvl w:val="3"/>
    </w:pPr>
    <w:rPr>
      <w:rFonts w:eastAsiaTheme="minorEastAsia" w:cstheme="majorBidi"/>
      <w:b/>
      <w:bCs/>
      <w:color w:val="000000" w:themeColor="text1"/>
      <w:lang w:val="en-CA" w:eastAsia="zh-TW"/>
    </w:rPr>
  </w:style>
  <w:style w:type="paragraph" w:customStyle="1" w:styleId="Heading1NOTocNOindent">
    <w:name w:val="Heading_1 NO Toc NO indent"/>
    <w:next w:val="Bodytext1"/>
    <w:rsid w:val="00547E4B"/>
    <w:pPr>
      <w:keepNext/>
      <w:spacing w:before="480" w:after="240" w:line="240" w:lineRule="exact"/>
    </w:pPr>
    <w:rPr>
      <w:rFonts w:ascii="Verdana" w:eastAsiaTheme="minorHAnsi" w:hAnsi="Verdana" w:cstheme="majorBidi"/>
      <w:b/>
      <w:color w:val="000000" w:themeColor="text1"/>
      <w:lang w:val="en-GB"/>
    </w:rPr>
  </w:style>
  <w:style w:type="paragraph" w:customStyle="1" w:styleId="Heading2NOToC">
    <w:name w:val="Heading_2_NO_ToC"/>
    <w:basedOn w:val="Normal"/>
    <w:uiPriority w:val="1"/>
    <w:rsid w:val="00547E4B"/>
    <w:pPr>
      <w:keepNext/>
      <w:tabs>
        <w:tab w:val="clear" w:pos="1134"/>
      </w:tabs>
      <w:spacing w:before="240" w:after="240" w:line="240" w:lineRule="exact"/>
      <w:ind w:left="1124" w:hanging="1124"/>
      <w:jc w:val="left"/>
    </w:pPr>
    <w:rPr>
      <w:rFonts w:eastAsiaTheme="minorEastAsia" w:cstheme="majorBidi"/>
      <w:b/>
      <w:bCs/>
      <w:color w:val="000000" w:themeColor="text1"/>
      <w:lang w:val="en-CA" w:eastAsia="zh-TW"/>
    </w:rPr>
  </w:style>
  <w:style w:type="paragraph" w:customStyle="1" w:styleId="Heading30">
    <w:name w:val="Heading_3"/>
    <w:basedOn w:val="Bodytext1"/>
    <w:uiPriority w:val="1"/>
    <w:qFormat/>
    <w:rsid w:val="00547E4B"/>
    <w:pPr>
      <w:keepNext/>
      <w:spacing w:before="240"/>
      <w:ind w:left="1123" w:hanging="1123"/>
      <w:outlineLvl w:val="5"/>
    </w:pPr>
    <w:rPr>
      <w:b/>
      <w:bCs/>
      <w:i/>
      <w:iCs/>
    </w:rPr>
  </w:style>
  <w:style w:type="paragraph" w:customStyle="1" w:styleId="Heading3NOToC">
    <w:name w:val="Heading_3_NO_ToC"/>
    <w:basedOn w:val="Heading30"/>
    <w:uiPriority w:val="1"/>
    <w:qFormat/>
    <w:rsid w:val="00547E4B"/>
  </w:style>
  <w:style w:type="paragraph" w:customStyle="1" w:styleId="Heading41">
    <w:name w:val="Heading 41"/>
    <w:basedOn w:val="Normal"/>
    <w:uiPriority w:val="1"/>
    <w:rsid w:val="00547E4B"/>
    <w:pPr>
      <w:keepNext/>
      <w:tabs>
        <w:tab w:val="clear" w:pos="1134"/>
        <w:tab w:val="left" w:pos="1120"/>
      </w:tabs>
      <w:spacing w:before="240" w:after="240" w:line="240" w:lineRule="exact"/>
      <w:ind w:left="1123" w:hanging="1123"/>
      <w:jc w:val="left"/>
      <w:outlineLvl w:val="6"/>
    </w:pPr>
    <w:rPr>
      <w:rFonts w:eastAsiaTheme="minorEastAsia" w:cstheme="majorBidi"/>
      <w:b/>
      <w:bCs/>
      <w:color w:val="7F7F7F" w:themeColor="text1" w:themeTint="80"/>
      <w:lang w:val="en-CA" w:eastAsia="zh-TW"/>
    </w:rPr>
  </w:style>
  <w:style w:type="paragraph" w:customStyle="1" w:styleId="Heading51">
    <w:name w:val="Heading 51"/>
    <w:basedOn w:val="Normal"/>
    <w:uiPriority w:val="1"/>
    <w:rsid w:val="00547E4B"/>
    <w:pPr>
      <w:keepNext/>
      <w:tabs>
        <w:tab w:val="clear" w:pos="1134"/>
        <w:tab w:val="left" w:pos="1120"/>
      </w:tabs>
      <w:spacing w:before="240" w:after="240" w:line="240" w:lineRule="exact"/>
      <w:ind w:left="1123" w:hanging="1123"/>
      <w:jc w:val="left"/>
      <w:outlineLvl w:val="7"/>
    </w:pPr>
    <w:rPr>
      <w:rFonts w:eastAsiaTheme="minorEastAsia" w:cstheme="majorBidi"/>
      <w:b/>
      <w:bCs/>
      <w:i/>
      <w:iCs/>
      <w:color w:val="7F7F7F" w:themeColor="text1" w:themeTint="80"/>
      <w:lang w:val="en-CA" w:eastAsia="zh-TW"/>
    </w:rPr>
  </w:style>
  <w:style w:type="paragraph" w:customStyle="1" w:styleId="Subheading1">
    <w:name w:val="Subheading_1"/>
    <w:qFormat/>
    <w:rsid w:val="00547E4B"/>
    <w:pPr>
      <w:keepNext/>
      <w:tabs>
        <w:tab w:val="left" w:pos="1120"/>
      </w:tabs>
      <w:spacing w:before="240" w:after="240" w:line="240" w:lineRule="exact"/>
      <w:outlineLvl w:val="8"/>
    </w:pPr>
    <w:rPr>
      <w:rFonts w:ascii="Verdana" w:eastAsia="Arial" w:hAnsi="Verdana" w:cs="Arial"/>
      <w:b/>
      <w:color w:val="7F7F7F" w:themeColor="text1" w:themeTint="80"/>
      <w:szCs w:val="22"/>
      <w:lang w:val="en-GB" w:eastAsia="en-US"/>
    </w:rPr>
  </w:style>
  <w:style w:type="paragraph" w:customStyle="1" w:styleId="Subheading2">
    <w:name w:val="Subheading_2"/>
    <w:qFormat/>
    <w:rsid w:val="00547E4B"/>
    <w:pPr>
      <w:keepNext/>
      <w:tabs>
        <w:tab w:val="left" w:pos="1120"/>
      </w:tabs>
      <w:spacing w:before="240" w:after="240" w:line="240" w:lineRule="exact"/>
      <w:outlineLvl w:val="8"/>
    </w:pPr>
    <w:rPr>
      <w:rFonts w:ascii="Verdana" w:eastAsia="Arial" w:hAnsi="Verdana" w:cs="Arial"/>
      <w:b/>
      <w:i/>
      <w:color w:val="7F7F7F" w:themeColor="text1" w:themeTint="80"/>
      <w:szCs w:val="22"/>
      <w:lang w:val="en-GB" w:eastAsia="en-US"/>
    </w:rPr>
  </w:style>
  <w:style w:type="paragraph" w:customStyle="1" w:styleId="HeadingCodesFM">
    <w:name w:val="Heading_Codes_FM"/>
    <w:uiPriority w:val="1"/>
    <w:rsid w:val="00547E4B"/>
    <w:pPr>
      <w:tabs>
        <w:tab w:val="left" w:pos="2040"/>
      </w:tabs>
      <w:ind w:left="3840" w:hanging="3840"/>
    </w:pPr>
    <w:rPr>
      <w:rFonts w:ascii="Verdana" w:eastAsiaTheme="minorHAnsi" w:hAnsi="Verdana" w:cstheme="majorBidi"/>
      <w:b/>
      <w:color w:val="000000"/>
      <w:szCs w:val="28"/>
      <w:lang w:val="en-GB"/>
    </w:rPr>
  </w:style>
  <w:style w:type="paragraph" w:customStyle="1" w:styleId="HeadingRevisiontable">
    <w:name w:val="Heading_Revision_table"/>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Keepnextbodytext">
    <w:name w:val="Keep_next_body_text"/>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Bodytextsemibold">
    <w:name w:val="Body text semibold"/>
    <w:basedOn w:val="Normal"/>
    <w:uiPriority w:val="1"/>
    <w:rsid w:val="00547E4B"/>
    <w:pPr>
      <w:tabs>
        <w:tab w:val="clear" w:pos="1134"/>
        <w:tab w:val="left" w:pos="1120"/>
      </w:tabs>
      <w:spacing w:after="240" w:line="276" w:lineRule="auto"/>
      <w:jc w:val="left"/>
    </w:pPr>
    <w:rPr>
      <w:rFonts w:eastAsiaTheme="minorEastAsia" w:cstheme="majorBidi"/>
      <w:b/>
      <w:bCs/>
      <w:color w:val="7F7F7F" w:themeColor="text1" w:themeTint="80"/>
      <w:lang w:val="en-CA" w:eastAsia="zh-TW"/>
    </w:rPr>
  </w:style>
  <w:style w:type="paragraph" w:customStyle="1" w:styleId="Definitionsandothers">
    <w:name w:val="Definitions and others"/>
    <w:basedOn w:val="Normal"/>
    <w:uiPriority w:val="1"/>
    <w:rsid w:val="00547E4B"/>
    <w:pPr>
      <w:tabs>
        <w:tab w:val="clear" w:pos="1134"/>
        <w:tab w:val="left" w:pos="480"/>
      </w:tabs>
      <w:spacing w:after="240" w:line="240" w:lineRule="exact"/>
      <w:ind w:left="482" w:hanging="482"/>
      <w:jc w:val="left"/>
    </w:pPr>
    <w:rPr>
      <w:rFonts w:eastAsiaTheme="minorEastAsia" w:cstheme="majorBidi"/>
      <w:color w:val="000000" w:themeColor="text1"/>
      <w:lang w:val="en-CA" w:eastAsia="zh-TW"/>
    </w:rPr>
  </w:style>
  <w:style w:type="paragraph" w:customStyle="1" w:styleId="Footnote">
    <w:name w:val="Footnote"/>
    <w:basedOn w:val="Normal"/>
    <w:uiPriority w:val="1"/>
    <w:rsid w:val="00547E4B"/>
    <w:pPr>
      <w:tabs>
        <w:tab w:val="clear" w:pos="1134"/>
      </w:tabs>
      <w:spacing w:line="276" w:lineRule="auto"/>
      <w:jc w:val="left"/>
    </w:pPr>
    <w:rPr>
      <w:rFonts w:eastAsiaTheme="minorEastAsia" w:cstheme="majorBidi"/>
      <w:color w:val="000000" w:themeColor="text1"/>
      <w:sz w:val="16"/>
      <w:szCs w:val="16"/>
      <w:lang w:val="en-CA" w:eastAsia="zh-TW"/>
    </w:rPr>
  </w:style>
  <w:style w:type="paragraph" w:customStyle="1" w:styleId="Footnotebeforetable">
    <w:name w:val="Footnote before table"/>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Footnoteaftertable">
    <w:name w:val="Footnote after table"/>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Note">
    <w:name w:val="Note"/>
    <w:qFormat/>
    <w:rsid w:val="00547E4B"/>
    <w:pPr>
      <w:tabs>
        <w:tab w:val="left" w:pos="720"/>
      </w:tabs>
      <w:spacing w:after="240" w:line="200" w:lineRule="exact"/>
    </w:pPr>
    <w:rPr>
      <w:rFonts w:ascii="Verdana" w:eastAsia="Arial" w:hAnsi="Verdana" w:cs="Arial"/>
      <w:color w:val="000000" w:themeColor="text1"/>
      <w:sz w:val="16"/>
      <w:szCs w:val="22"/>
      <w:lang w:val="en-GB" w:eastAsia="en-US"/>
    </w:rPr>
  </w:style>
  <w:style w:type="paragraph" w:customStyle="1" w:styleId="Notespacebefore">
    <w:name w:val="Note space before"/>
    <w:qFormat/>
    <w:rsid w:val="00547E4B"/>
    <w:pPr>
      <w:spacing w:before="240" w:after="200" w:line="276" w:lineRule="auto"/>
    </w:pPr>
    <w:rPr>
      <w:rFonts w:ascii="Verdana" w:eastAsia="Arial" w:hAnsi="Verdana" w:cs="Arial"/>
      <w:color w:val="000000" w:themeColor="text1"/>
      <w:sz w:val="16"/>
      <w:szCs w:val="22"/>
      <w:lang w:val="en-GB" w:eastAsia="en-US"/>
    </w:rPr>
  </w:style>
  <w:style w:type="paragraph" w:customStyle="1" w:styleId="Indent1note">
    <w:name w:val="Indent 1_note"/>
    <w:basedOn w:val="Normal"/>
    <w:uiPriority w:val="1"/>
    <w:rsid w:val="00547E4B"/>
    <w:pPr>
      <w:tabs>
        <w:tab w:val="clear" w:pos="1134"/>
        <w:tab w:val="left" w:pos="1200"/>
      </w:tabs>
      <w:spacing w:after="240" w:line="276" w:lineRule="auto"/>
      <w:ind w:left="480"/>
      <w:jc w:val="left"/>
    </w:pPr>
    <w:rPr>
      <w:rFonts w:eastAsiaTheme="minorEastAsia" w:cstheme="majorBidi"/>
      <w:color w:val="000000" w:themeColor="text1"/>
      <w:sz w:val="16"/>
      <w:szCs w:val="16"/>
      <w:lang w:val="en-CA" w:eastAsia="zh-TW"/>
    </w:rPr>
  </w:style>
  <w:style w:type="paragraph" w:customStyle="1" w:styleId="Indent2note">
    <w:name w:val="Indent 2_note"/>
    <w:basedOn w:val="Normal"/>
    <w:uiPriority w:val="1"/>
    <w:rsid w:val="00547E4B"/>
    <w:pPr>
      <w:tabs>
        <w:tab w:val="clear" w:pos="1134"/>
        <w:tab w:val="left" w:pos="1661"/>
      </w:tabs>
      <w:spacing w:after="240" w:line="276" w:lineRule="auto"/>
      <w:ind w:left="958"/>
      <w:jc w:val="left"/>
    </w:pPr>
    <w:rPr>
      <w:rFonts w:eastAsiaTheme="minorEastAsia" w:cstheme="majorBidi"/>
      <w:color w:val="000000" w:themeColor="text1"/>
      <w:sz w:val="16"/>
      <w:szCs w:val="16"/>
      <w:lang w:val="en-CA" w:eastAsia="zh-TW"/>
    </w:rPr>
  </w:style>
  <w:style w:type="paragraph" w:customStyle="1" w:styleId="Notesheading">
    <w:name w:val="Notes heading"/>
    <w:next w:val="Notes1"/>
    <w:rsid w:val="00547E4B"/>
    <w:pPr>
      <w:keepNext/>
      <w:spacing w:line="276" w:lineRule="auto"/>
    </w:pPr>
    <w:rPr>
      <w:rFonts w:ascii="Verdana" w:eastAsiaTheme="minorHAnsi" w:hAnsi="Verdana" w:cstheme="majorBidi"/>
      <w:color w:val="000000" w:themeColor="text1"/>
      <w:sz w:val="16"/>
      <w:lang w:val="en-GB"/>
    </w:rPr>
  </w:style>
  <w:style w:type="paragraph" w:customStyle="1" w:styleId="Notes1">
    <w:name w:val="Notes 1"/>
    <w:qFormat/>
    <w:rsid w:val="00547E4B"/>
    <w:pPr>
      <w:spacing w:after="240" w:line="200" w:lineRule="exact"/>
      <w:ind w:left="360" w:hanging="360"/>
    </w:pPr>
    <w:rPr>
      <w:rFonts w:ascii="Verdana" w:eastAsia="Arial" w:hAnsi="Verdana" w:cs="Arial"/>
      <w:color w:val="000000" w:themeColor="text1"/>
      <w:sz w:val="16"/>
      <w:szCs w:val="22"/>
      <w:lang w:val="en-GB" w:eastAsia="en-US"/>
    </w:rPr>
  </w:style>
  <w:style w:type="paragraph" w:customStyle="1" w:styleId="Indent1Notesheading">
    <w:name w:val="Indent 1_Notes heading"/>
    <w:basedOn w:val="Normal"/>
    <w:uiPriority w:val="1"/>
    <w:rsid w:val="00547E4B"/>
    <w:pPr>
      <w:tabs>
        <w:tab w:val="clear" w:pos="1134"/>
      </w:tabs>
      <w:spacing w:line="276" w:lineRule="auto"/>
      <w:ind w:left="482"/>
      <w:jc w:val="left"/>
    </w:pPr>
    <w:rPr>
      <w:rFonts w:eastAsiaTheme="minorEastAsia" w:cstheme="majorBidi"/>
      <w:color w:val="000000" w:themeColor="text1"/>
      <w:sz w:val="16"/>
      <w:szCs w:val="16"/>
      <w:lang w:val="en-CA" w:eastAsia="zh-TW"/>
    </w:rPr>
  </w:style>
  <w:style w:type="paragraph" w:customStyle="1" w:styleId="Indent1Notes1">
    <w:name w:val="Indent 1_Notes 1"/>
    <w:basedOn w:val="Normal"/>
    <w:uiPriority w:val="1"/>
    <w:rsid w:val="00547E4B"/>
    <w:pPr>
      <w:tabs>
        <w:tab w:val="clear" w:pos="1134"/>
      </w:tabs>
      <w:spacing w:after="240" w:line="276" w:lineRule="auto"/>
      <w:ind w:left="839" w:hanging="357"/>
      <w:jc w:val="left"/>
    </w:pPr>
    <w:rPr>
      <w:rFonts w:eastAsiaTheme="minorEastAsia" w:cstheme="majorBidi"/>
      <w:color w:val="000000" w:themeColor="text1"/>
      <w:sz w:val="16"/>
      <w:szCs w:val="16"/>
      <w:lang w:val="en-CA" w:eastAsia="zh-TW"/>
    </w:rPr>
  </w:style>
  <w:style w:type="paragraph" w:customStyle="1" w:styleId="Keepnextindent1">
    <w:name w:val="Keep_next_indent_1"/>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Notes2">
    <w:name w:val="Notes 2"/>
    <w:qFormat/>
    <w:rsid w:val="00547E4B"/>
    <w:pPr>
      <w:spacing w:after="240" w:line="200" w:lineRule="exact"/>
      <w:ind w:left="720" w:hanging="360"/>
    </w:pPr>
    <w:rPr>
      <w:rFonts w:ascii="Verdana" w:eastAsia="Arial" w:hAnsi="Verdana" w:cs="Arial"/>
      <w:color w:val="000000" w:themeColor="text1"/>
      <w:sz w:val="16"/>
      <w:szCs w:val="22"/>
      <w:lang w:val="en-GB" w:eastAsia="en-US"/>
    </w:rPr>
  </w:style>
  <w:style w:type="paragraph" w:customStyle="1" w:styleId="Notes3">
    <w:name w:val="Notes 3"/>
    <w:basedOn w:val="Normal"/>
    <w:uiPriority w:val="1"/>
    <w:rsid w:val="00547E4B"/>
    <w:pPr>
      <w:tabs>
        <w:tab w:val="clear" w:pos="1134"/>
      </w:tabs>
      <w:spacing w:after="240" w:line="276" w:lineRule="auto"/>
      <w:ind w:left="1080" w:hanging="360"/>
      <w:jc w:val="left"/>
    </w:pPr>
    <w:rPr>
      <w:rFonts w:eastAsiaTheme="minorEastAsia" w:cstheme="majorBidi"/>
      <w:color w:val="000000" w:themeColor="text1"/>
      <w:sz w:val="16"/>
      <w:szCs w:val="16"/>
      <w:lang w:val="en-CA" w:eastAsia="zh-TW"/>
    </w:rPr>
  </w:style>
  <w:style w:type="paragraph" w:customStyle="1" w:styleId="Quotes">
    <w:name w:val="Quotes"/>
    <w:basedOn w:val="Normal"/>
    <w:uiPriority w:val="1"/>
    <w:rsid w:val="00547E4B"/>
    <w:pPr>
      <w:tabs>
        <w:tab w:val="clear" w:pos="1134"/>
        <w:tab w:val="left" w:pos="1740"/>
      </w:tabs>
      <w:spacing w:after="240" w:line="240" w:lineRule="exact"/>
      <w:ind w:left="1123" w:right="1123"/>
      <w:jc w:val="left"/>
    </w:pPr>
    <w:rPr>
      <w:rFonts w:eastAsiaTheme="minorEastAsia" w:cstheme="majorBidi"/>
      <w:color w:val="000000" w:themeColor="text1"/>
      <w:sz w:val="18"/>
      <w:szCs w:val="18"/>
      <w:lang w:val="en-CA" w:eastAsia="zh-TW"/>
    </w:rPr>
  </w:style>
  <w:style w:type="paragraph" w:customStyle="1" w:styleId="Quotestab">
    <w:name w:val="Quotes tab"/>
    <w:basedOn w:val="Quotes"/>
    <w:uiPriority w:val="1"/>
    <w:qFormat/>
    <w:rsid w:val="00547E4B"/>
    <w:pPr>
      <w:tabs>
        <w:tab w:val="left" w:pos="1500"/>
      </w:tabs>
      <w:spacing w:after="120"/>
      <w:ind w:left="1503" w:hanging="380"/>
    </w:pPr>
    <w:rPr>
      <w:rFonts w:eastAsia="Arial" w:cs="Arial"/>
      <w:lang w:eastAsia="en-US"/>
    </w:rPr>
  </w:style>
  <w:style w:type="paragraph" w:customStyle="1" w:styleId="Quotestabspaceafter">
    <w:name w:val="Quotes tab space after"/>
    <w:basedOn w:val="Quotestab"/>
    <w:uiPriority w:val="1"/>
    <w:rsid w:val="00547E4B"/>
    <w:pPr>
      <w:spacing w:after="240"/>
    </w:pPr>
  </w:style>
  <w:style w:type="paragraph" w:customStyle="1" w:styleId="References">
    <w:name w:val="References"/>
    <w:basedOn w:val="Normal"/>
    <w:uiPriority w:val="1"/>
    <w:rsid w:val="00547E4B"/>
    <w:pPr>
      <w:tabs>
        <w:tab w:val="clear" w:pos="1134"/>
      </w:tabs>
      <w:spacing w:line="200" w:lineRule="exact"/>
      <w:ind w:left="960" w:hanging="960"/>
      <w:jc w:val="left"/>
    </w:pPr>
    <w:rPr>
      <w:rFonts w:eastAsiaTheme="minorEastAsia" w:cstheme="majorBidi"/>
      <w:color w:val="000000" w:themeColor="text1"/>
      <w:sz w:val="18"/>
      <w:szCs w:val="18"/>
      <w:lang w:val="en-CA" w:eastAsia="zh-TW"/>
    </w:rPr>
  </w:style>
  <w:style w:type="paragraph" w:styleId="Signature">
    <w:name w:val="Signature"/>
    <w:basedOn w:val="Normal"/>
    <w:link w:val="SignatureChar"/>
    <w:uiPriority w:val="1"/>
    <w:rsid w:val="00547E4B"/>
    <w:pPr>
      <w:tabs>
        <w:tab w:val="clear" w:pos="1134"/>
      </w:tabs>
      <w:spacing w:line="240" w:lineRule="exact"/>
      <w:jc w:val="right"/>
    </w:pPr>
    <w:rPr>
      <w:rFonts w:eastAsiaTheme="minorEastAsia" w:cstheme="majorBidi"/>
      <w:color w:val="000000" w:themeColor="text1"/>
      <w:lang w:val="en-CA" w:eastAsia="zh-TW"/>
    </w:rPr>
  </w:style>
  <w:style w:type="character" w:customStyle="1" w:styleId="SignatureChar">
    <w:name w:val="Signature Char"/>
    <w:basedOn w:val="DefaultParagraphFont"/>
    <w:link w:val="Signature"/>
    <w:uiPriority w:val="1"/>
    <w:rsid w:val="00547E4B"/>
    <w:rPr>
      <w:rFonts w:ascii="Verdana" w:eastAsiaTheme="minorEastAsia" w:hAnsi="Verdana" w:cstheme="majorBidi"/>
      <w:color w:val="000000" w:themeColor="text1"/>
      <w:lang w:val="en-CA"/>
    </w:rPr>
  </w:style>
  <w:style w:type="paragraph" w:customStyle="1" w:styleId="Equation">
    <w:name w:val="Equation"/>
    <w:basedOn w:val="Normal"/>
    <w:uiPriority w:val="1"/>
    <w:rsid w:val="00547E4B"/>
    <w:pPr>
      <w:tabs>
        <w:tab w:val="clear" w:pos="1134"/>
        <w:tab w:val="left" w:pos="4360"/>
        <w:tab w:val="right" w:pos="8720"/>
      </w:tabs>
      <w:spacing w:line="276" w:lineRule="auto"/>
      <w:jc w:val="left"/>
    </w:pPr>
    <w:rPr>
      <w:rFonts w:eastAsiaTheme="minorEastAsia" w:cstheme="majorBidi"/>
      <w:color w:val="000000" w:themeColor="text1"/>
      <w:lang w:val="en-CA" w:eastAsia="zh-TW"/>
    </w:rPr>
  </w:style>
  <w:style w:type="paragraph" w:customStyle="1" w:styleId="Indent1">
    <w:name w:val="Indent 1"/>
    <w:link w:val="Indent1Char"/>
    <w:qFormat/>
    <w:rsid w:val="00547E4B"/>
    <w:pPr>
      <w:tabs>
        <w:tab w:val="left" w:pos="480"/>
      </w:tabs>
      <w:spacing w:after="240" w:line="240" w:lineRule="exact"/>
      <w:ind w:left="480" w:hanging="480"/>
    </w:pPr>
    <w:rPr>
      <w:rFonts w:ascii="Verdana" w:eastAsia="Arial" w:hAnsi="Verdana" w:cs="Arial"/>
      <w:color w:val="000000" w:themeColor="text1"/>
      <w:szCs w:val="22"/>
      <w:lang w:val="en-GB" w:eastAsia="en-US"/>
    </w:rPr>
  </w:style>
  <w:style w:type="character" w:customStyle="1" w:styleId="Indent1Char">
    <w:name w:val="Indent 1 Char"/>
    <w:basedOn w:val="DefaultParagraphFont"/>
    <w:link w:val="Indent1"/>
    <w:rsid w:val="00547E4B"/>
    <w:rPr>
      <w:rFonts w:ascii="Verdana" w:eastAsia="Arial" w:hAnsi="Verdana" w:cs="Arial"/>
      <w:color w:val="000000" w:themeColor="text1"/>
      <w:szCs w:val="22"/>
      <w:lang w:val="en-GB" w:eastAsia="en-US"/>
    </w:rPr>
  </w:style>
  <w:style w:type="paragraph" w:customStyle="1" w:styleId="Indent2">
    <w:name w:val="Indent 2"/>
    <w:qFormat/>
    <w:rsid w:val="00547E4B"/>
    <w:pPr>
      <w:tabs>
        <w:tab w:val="left" w:pos="960"/>
      </w:tabs>
      <w:spacing w:after="240" w:line="240" w:lineRule="exact"/>
      <w:ind w:left="960" w:hanging="480"/>
    </w:pPr>
    <w:rPr>
      <w:rFonts w:ascii="Verdana" w:eastAsia="Arial" w:hAnsi="Verdana" w:cs="Arial"/>
      <w:color w:val="000000" w:themeColor="text1"/>
      <w:szCs w:val="22"/>
      <w:lang w:val="en-GB" w:eastAsia="en-US"/>
    </w:rPr>
  </w:style>
  <w:style w:type="paragraph" w:customStyle="1" w:styleId="Indent3">
    <w:name w:val="Indent 3"/>
    <w:rsid w:val="00547E4B"/>
    <w:pPr>
      <w:tabs>
        <w:tab w:val="left" w:pos="1440"/>
      </w:tabs>
      <w:spacing w:after="240" w:line="240" w:lineRule="exact"/>
      <w:ind w:left="1440" w:hanging="480"/>
    </w:pPr>
    <w:rPr>
      <w:rFonts w:ascii="Verdana" w:eastAsiaTheme="minorHAnsi" w:hAnsi="Verdana" w:cstheme="majorBidi"/>
      <w:color w:val="000000" w:themeColor="text1"/>
      <w:lang w:val="en-GB"/>
    </w:rPr>
  </w:style>
  <w:style w:type="paragraph" w:customStyle="1" w:styleId="Indent4">
    <w:name w:val="Indent 4"/>
    <w:basedOn w:val="Normal"/>
    <w:uiPriority w:val="1"/>
    <w:rsid w:val="00547E4B"/>
    <w:pPr>
      <w:tabs>
        <w:tab w:val="clear" w:pos="1134"/>
        <w:tab w:val="left" w:pos="1920"/>
      </w:tabs>
      <w:spacing w:after="240" w:line="240" w:lineRule="exact"/>
      <w:ind w:left="1920" w:hanging="480"/>
      <w:jc w:val="left"/>
    </w:pPr>
    <w:rPr>
      <w:rFonts w:eastAsiaTheme="minorEastAsia" w:cstheme="majorBidi"/>
      <w:color w:val="000000" w:themeColor="text1"/>
      <w:lang w:val="en-CA" w:eastAsia="zh-TW"/>
    </w:rPr>
  </w:style>
  <w:style w:type="paragraph" w:customStyle="1" w:styleId="Indent1semibold">
    <w:name w:val="Indent 1 semi bold"/>
    <w:basedOn w:val="Indent1"/>
    <w:qFormat/>
    <w:rsid w:val="00547E4B"/>
    <w:rPr>
      <w:b/>
      <w:color w:val="7F7F7F" w:themeColor="text1" w:themeTint="80"/>
    </w:rPr>
  </w:style>
  <w:style w:type="paragraph" w:customStyle="1" w:styleId="Indent2semibold">
    <w:name w:val="Indent 2 semi bold"/>
    <w:basedOn w:val="Indent2"/>
    <w:qFormat/>
    <w:rsid w:val="00547E4B"/>
    <w:pPr>
      <w:tabs>
        <w:tab w:val="clear" w:pos="960"/>
      </w:tabs>
      <w:ind w:left="1082" w:hanging="600"/>
    </w:pPr>
    <w:rPr>
      <w:b/>
      <w:color w:val="7F7F7F" w:themeColor="text1" w:themeTint="80"/>
    </w:rPr>
  </w:style>
  <w:style w:type="paragraph" w:customStyle="1" w:styleId="Indent3semibold">
    <w:name w:val="Indent 3 semi bold"/>
    <w:basedOn w:val="Indent3"/>
    <w:qFormat/>
    <w:rsid w:val="00547E4B"/>
    <w:rPr>
      <w:b/>
      <w:color w:val="7F7F7F" w:themeColor="text1" w:themeTint="80"/>
    </w:rPr>
  </w:style>
  <w:style w:type="paragraph" w:customStyle="1" w:styleId="Indent4semibold">
    <w:name w:val="Indent 4 semi bold"/>
    <w:basedOn w:val="Normal"/>
    <w:uiPriority w:val="1"/>
    <w:rsid w:val="00547E4B"/>
    <w:pPr>
      <w:tabs>
        <w:tab w:val="clear" w:pos="1134"/>
      </w:tabs>
      <w:spacing w:after="240" w:line="276" w:lineRule="auto"/>
      <w:ind w:left="1920" w:hanging="480"/>
      <w:jc w:val="left"/>
    </w:pPr>
    <w:rPr>
      <w:rFonts w:eastAsiaTheme="minorEastAsia" w:cstheme="majorBidi"/>
      <w:b/>
      <w:bCs/>
      <w:color w:val="7F7F7F" w:themeColor="text1" w:themeTint="80"/>
      <w:lang w:val="en-CA" w:eastAsia="zh-TW"/>
    </w:rPr>
  </w:style>
  <w:style w:type="paragraph" w:customStyle="1" w:styleId="Indent1semiboldNOspaceafter">
    <w:name w:val="Indent 1 semi bold NO space after"/>
    <w:basedOn w:val="Normal"/>
    <w:uiPriority w:val="1"/>
    <w:rsid w:val="00547E4B"/>
    <w:pPr>
      <w:tabs>
        <w:tab w:val="clear" w:pos="1134"/>
        <w:tab w:val="left" w:pos="480"/>
      </w:tabs>
      <w:spacing w:line="276" w:lineRule="auto"/>
      <w:ind w:left="480" w:hanging="480"/>
      <w:jc w:val="left"/>
    </w:pPr>
    <w:rPr>
      <w:rFonts w:eastAsiaTheme="minorEastAsia" w:cstheme="majorBidi"/>
      <w:b/>
      <w:bCs/>
      <w:color w:val="7F7F7F" w:themeColor="text1" w:themeTint="80"/>
      <w:lang w:val="en-CA" w:eastAsia="zh-TW"/>
    </w:rPr>
  </w:style>
  <w:style w:type="paragraph" w:customStyle="1" w:styleId="Indent2semiboldNOspaceafter">
    <w:name w:val="Indent 2 semi bold NO space after"/>
    <w:basedOn w:val="Normal"/>
    <w:uiPriority w:val="1"/>
    <w:rsid w:val="00547E4B"/>
    <w:pPr>
      <w:tabs>
        <w:tab w:val="clear" w:pos="1134"/>
      </w:tabs>
      <w:spacing w:line="276" w:lineRule="auto"/>
      <w:ind w:left="1080" w:hanging="600"/>
      <w:jc w:val="left"/>
    </w:pPr>
    <w:rPr>
      <w:rFonts w:eastAsiaTheme="minorEastAsia" w:cstheme="majorBidi"/>
      <w:b/>
      <w:bCs/>
      <w:color w:val="7F7F7F" w:themeColor="text1" w:themeTint="80"/>
      <w:lang w:val="en-CA" w:eastAsia="zh-TW"/>
    </w:rPr>
  </w:style>
  <w:style w:type="paragraph" w:customStyle="1" w:styleId="Indent3semiboldNOspaceafter">
    <w:name w:val="Indent 3 semi bold NO space after"/>
    <w:basedOn w:val="Normal"/>
    <w:uiPriority w:val="1"/>
    <w:rsid w:val="00547E4B"/>
    <w:pPr>
      <w:tabs>
        <w:tab w:val="clear" w:pos="1134"/>
      </w:tabs>
      <w:spacing w:line="276" w:lineRule="auto"/>
      <w:ind w:left="1440" w:hanging="480"/>
      <w:jc w:val="left"/>
    </w:pPr>
    <w:rPr>
      <w:rFonts w:eastAsiaTheme="minorEastAsia" w:cstheme="majorBidi"/>
      <w:b/>
      <w:bCs/>
      <w:color w:val="7F7F7F" w:themeColor="text1" w:themeTint="80"/>
      <w:lang w:val="en-CA" w:eastAsia="zh-TW"/>
    </w:rPr>
  </w:style>
  <w:style w:type="paragraph" w:customStyle="1" w:styleId="Indent4semiboldNOspaceafter">
    <w:name w:val="Indent 4 semi bold NO space after"/>
    <w:basedOn w:val="Normal"/>
    <w:uiPriority w:val="1"/>
    <w:rsid w:val="00547E4B"/>
    <w:pPr>
      <w:tabs>
        <w:tab w:val="clear" w:pos="1134"/>
      </w:tabs>
      <w:spacing w:line="276" w:lineRule="auto"/>
      <w:ind w:left="1920" w:hanging="480"/>
      <w:jc w:val="left"/>
    </w:pPr>
    <w:rPr>
      <w:rFonts w:eastAsiaTheme="minorEastAsia" w:cstheme="majorBidi"/>
      <w:b/>
      <w:bCs/>
      <w:color w:val="7F7F7F" w:themeColor="text1" w:themeTint="80"/>
      <w:lang w:val="en-CA" w:eastAsia="zh-TW"/>
    </w:rPr>
  </w:style>
  <w:style w:type="paragraph" w:customStyle="1" w:styleId="Indent1NOspaceafter">
    <w:name w:val="Indent 1 NO space after"/>
    <w:basedOn w:val="Indent1"/>
    <w:rsid w:val="00547E4B"/>
    <w:pPr>
      <w:spacing w:after="0"/>
    </w:pPr>
  </w:style>
  <w:style w:type="paragraph" w:customStyle="1" w:styleId="Indent2NOspaceafter">
    <w:name w:val="Indent 2 NO space after"/>
    <w:basedOn w:val="Indent2"/>
    <w:rsid w:val="00547E4B"/>
    <w:pPr>
      <w:spacing w:after="0"/>
    </w:pPr>
  </w:style>
  <w:style w:type="paragraph" w:customStyle="1" w:styleId="Indent3NOspaceafter">
    <w:name w:val="Indent 3 NO space after"/>
    <w:basedOn w:val="Indent3"/>
    <w:rsid w:val="00547E4B"/>
    <w:pPr>
      <w:spacing w:after="0"/>
    </w:pPr>
  </w:style>
  <w:style w:type="paragraph" w:customStyle="1" w:styleId="Indent4NOspaceafter">
    <w:name w:val="Indent 4 NO space after"/>
    <w:basedOn w:val="Normal"/>
    <w:uiPriority w:val="1"/>
    <w:rsid w:val="00547E4B"/>
    <w:pPr>
      <w:tabs>
        <w:tab w:val="clear" w:pos="1134"/>
      </w:tabs>
      <w:spacing w:line="276" w:lineRule="auto"/>
      <w:ind w:left="1920" w:hanging="480"/>
      <w:jc w:val="left"/>
    </w:pPr>
    <w:rPr>
      <w:rFonts w:eastAsiaTheme="minorEastAsia" w:cstheme="majorBidi"/>
      <w:color w:val="000000" w:themeColor="text1"/>
      <w:lang w:val="en-CA" w:eastAsia="zh-TW"/>
    </w:rPr>
  </w:style>
  <w:style w:type="paragraph" w:customStyle="1" w:styleId="THEEND">
    <w:name w:val="THE END _____"/>
    <w:rsid w:val="00547E4B"/>
    <w:pPr>
      <w:pBdr>
        <w:top w:val="single" w:sz="2" w:space="1" w:color="auto"/>
        <w:left w:val="single" w:sz="2" w:space="4" w:color="auto"/>
        <w:bottom w:val="single" w:sz="2" w:space="1" w:color="auto"/>
        <w:right w:val="single" w:sz="2" w:space="4" w:color="auto"/>
      </w:pBdr>
      <w:shd w:val="clear" w:color="auto" w:fill="7F7F7F" w:themeFill="text1" w:themeFillTint="80"/>
      <w:spacing w:before="480" w:after="120" w:line="14" w:lineRule="exact"/>
      <w:ind w:left="3997" w:right="3997"/>
      <w:jc w:val="center"/>
    </w:pPr>
    <w:rPr>
      <w:rFonts w:ascii="Verdana" w:eastAsia="Times New Roman" w:hAnsi="Verdana"/>
      <w:noProof/>
      <w:color w:val="000000" w:themeColor="text1"/>
      <w:szCs w:val="24"/>
      <w:lang w:val="en-GB" w:eastAsia="fr-CH"/>
    </w:rPr>
  </w:style>
  <w:style w:type="paragraph" w:customStyle="1" w:styleId="THEENDlandscape">
    <w:name w:val="THE END _____ landscape"/>
    <w:basedOn w:val="Normal"/>
    <w:uiPriority w:val="1"/>
    <w:rsid w:val="00547E4B"/>
    <w:pPr>
      <w:tabs>
        <w:tab w:val="clear" w:pos="1134"/>
      </w:tabs>
      <w:spacing w:before="480" w:after="120" w:line="14" w:lineRule="exact"/>
      <w:ind w:left="3997" w:right="3997"/>
      <w:jc w:val="center"/>
    </w:pPr>
    <w:rPr>
      <w:rFonts w:eastAsiaTheme="minorEastAsia" w:cstheme="majorBidi"/>
      <w:color w:val="000000" w:themeColor="text1"/>
      <w:lang w:val="en-CA" w:eastAsia="zh-TW"/>
    </w:rPr>
  </w:style>
  <w:style w:type="paragraph" w:customStyle="1" w:styleId="THEENDNOspacebefore">
    <w:name w:val="THE END _____ NO space before"/>
    <w:rsid w:val="00547E4B"/>
    <w:pPr>
      <w:pBdr>
        <w:top w:val="single" w:sz="2" w:space="1" w:color="auto"/>
        <w:left w:val="single" w:sz="2" w:space="4" w:color="auto"/>
        <w:bottom w:val="single" w:sz="2" w:space="1" w:color="auto"/>
        <w:right w:val="single" w:sz="2" w:space="4" w:color="auto"/>
      </w:pBdr>
      <w:shd w:val="clear" w:color="auto" w:fill="000000" w:themeFill="text1"/>
      <w:spacing w:before="240" w:line="14" w:lineRule="exact"/>
      <w:ind w:left="3997" w:right="3997"/>
      <w:contextualSpacing/>
      <w:jc w:val="center"/>
    </w:pPr>
    <w:rPr>
      <w:rFonts w:ascii="Verdana" w:eastAsiaTheme="minorHAnsi" w:hAnsi="Verdana" w:cstheme="majorBidi"/>
      <w:color w:val="000000" w:themeColor="text1"/>
      <w:szCs w:val="24"/>
      <w:lang w:val="en-GB" w:eastAsia="en-US"/>
    </w:rPr>
  </w:style>
  <w:style w:type="paragraph" w:customStyle="1" w:styleId="THEENDNOspacebeforelandscape">
    <w:name w:val="THE END _____ NO space before landscape"/>
    <w:basedOn w:val="Normal"/>
    <w:uiPriority w:val="1"/>
    <w:rsid w:val="00547E4B"/>
    <w:pPr>
      <w:tabs>
        <w:tab w:val="clear" w:pos="1134"/>
      </w:tabs>
      <w:spacing w:before="240" w:after="120" w:line="14" w:lineRule="exact"/>
      <w:ind w:left="3997" w:right="3997"/>
      <w:jc w:val="center"/>
    </w:pPr>
    <w:rPr>
      <w:rFonts w:eastAsiaTheme="minorEastAsia" w:cstheme="majorBidi"/>
      <w:color w:val="000000" w:themeColor="text1"/>
      <w:lang w:val="en-CA" w:eastAsia="zh-TW"/>
    </w:rPr>
  </w:style>
  <w:style w:type="paragraph" w:customStyle="1" w:styleId="Boxheading">
    <w:name w:val="Box heading"/>
    <w:basedOn w:val="Normal"/>
    <w:uiPriority w:val="1"/>
    <w:rsid w:val="00547E4B"/>
    <w:pPr>
      <w:keepNext/>
      <w:tabs>
        <w:tab w:val="clear" w:pos="1134"/>
      </w:tabs>
      <w:spacing w:line="220" w:lineRule="exact"/>
      <w:jc w:val="center"/>
    </w:pPr>
    <w:rPr>
      <w:rFonts w:eastAsiaTheme="minorEastAsia" w:cstheme="majorBidi"/>
      <w:b/>
      <w:bCs/>
      <w:color w:val="000000" w:themeColor="text1"/>
      <w:sz w:val="19"/>
      <w:szCs w:val="19"/>
      <w:lang w:val="en-CA" w:eastAsia="zh-TW"/>
    </w:rPr>
  </w:style>
  <w:style w:type="paragraph" w:customStyle="1" w:styleId="Boxtext">
    <w:name w:val="Box text"/>
    <w:basedOn w:val="Normal"/>
    <w:uiPriority w:val="1"/>
    <w:rsid w:val="00547E4B"/>
    <w:pPr>
      <w:tabs>
        <w:tab w:val="clear" w:pos="1134"/>
      </w:tabs>
      <w:spacing w:before="110" w:line="220" w:lineRule="exact"/>
      <w:jc w:val="left"/>
    </w:pPr>
    <w:rPr>
      <w:rFonts w:eastAsiaTheme="minorEastAsia" w:cstheme="majorBidi"/>
      <w:color w:val="000000" w:themeColor="text1"/>
      <w:sz w:val="19"/>
      <w:szCs w:val="19"/>
      <w:lang w:val="en-CA" w:eastAsia="zh-TW"/>
    </w:rPr>
  </w:style>
  <w:style w:type="paragraph" w:customStyle="1" w:styleId="Boxtextindent">
    <w:name w:val="Box text indent"/>
    <w:basedOn w:val="Boxtext"/>
    <w:uiPriority w:val="1"/>
    <w:rsid w:val="00547E4B"/>
    <w:pPr>
      <w:ind w:left="360" w:hanging="360"/>
    </w:pPr>
  </w:style>
  <w:style w:type="paragraph" w:customStyle="1" w:styleId="BoxtextindentExamples">
    <w:name w:val="Box text indent Examples"/>
    <w:basedOn w:val="Normal"/>
    <w:uiPriority w:val="1"/>
    <w:rsid w:val="00547E4B"/>
    <w:pPr>
      <w:tabs>
        <w:tab w:val="clear" w:pos="1134"/>
        <w:tab w:val="left" w:pos="2400"/>
      </w:tabs>
      <w:spacing w:line="220" w:lineRule="exact"/>
      <w:ind w:left="2398" w:hanging="2398"/>
      <w:jc w:val="left"/>
    </w:pPr>
    <w:rPr>
      <w:rFonts w:eastAsiaTheme="minorEastAsia" w:cstheme="majorBidi"/>
      <w:color w:val="000000" w:themeColor="text1"/>
      <w:sz w:val="19"/>
      <w:szCs w:val="19"/>
      <w:lang w:val="en-CA" w:eastAsia="zh-TW"/>
    </w:rPr>
  </w:style>
  <w:style w:type="paragraph" w:customStyle="1" w:styleId="FigureNOTtaggedleft">
    <w:name w:val="Figure NOT tagged left"/>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FigureNOTtaggedcentre">
    <w:name w:val="Figure NOT tagged centre"/>
    <w:basedOn w:val="Normal"/>
    <w:uiPriority w:val="1"/>
    <w:rsid w:val="00547E4B"/>
    <w:pPr>
      <w:tabs>
        <w:tab w:val="clear" w:pos="1134"/>
      </w:tabs>
      <w:spacing w:line="276" w:lineRule="auto"/>
      <w:jc w:val="center"/>
    </w:pPr>
    <w:rPr>
      <w:rFonts w:eastAsiaTheme="minorEastAsia" w:cstheme="majorBidi"/>
      <w:color w:val="000000" w:themeColor="text1"/>
      <w:lang w:val="en-CA" w:eastAsia="zh-TW"/>
    </w:rPr>
  </w:style>
  <w:style w:type="paragraph" w:customStyle="1" w:styleId="FigureNOTtaggedright">
    <w:name w:val="Figure NOT tagged right"/>
    <w:basedOn w:val="Normal"/>
    <w:uiPriority w:val="1"/>
    <w:rsid w:val="00547E4B"/>
    <w:pPr>
      <w:tabs>
        <w:tab w:val="clear" w:pos="1134"/>
      </w:tabs>
      <w:spacing w:line="276" w:lineRule="auto"/>
      <w:jc w:val="right"/>
    </w:pPr>
    <w:rPr>
      <w:rFonts w:eastAsiaTheme="minorEastAsia" w:cstheme="majorBidi"/>
      <w:color w:val="000000" w:themeColor="text1"/>
      <w:lang w:val="en-CA" w:eastAsia="zh-TW"/>
    </w:rPr>
  </w:style>
  <w:style w:type="paragraph" w:customStyle="1" w:styleId="Figurecaption">
    <w:name w:val="Figure caption"/>
    <w:basedOn w:val="Normal"/>
    <w:uiPriority w:val="1"/>
    <w:rsid w:val="00547E4B"/>
    <w:pPr>
      <w:keepNext/>
      <w:tabs>
        <w:tab w:val="clear" w:pos="1134"/>
      </w:tabs>
      <w:spacing w:before="240" w:after="240" w:line="240" w:lineRule="exact"/>
      <w:jc w:val="center"/>
    </w:pPr>
    <w:rPr>
      <w:rFonts w:eastAsiaTheme="minorEastAsia" w:cstheme="majorBidi"/>
      <w:b/>
      <w:bCs/>
      <w:color w:val="7F7F7F" w:themeColor="text1" w:themeTint="80"/>
      <w:lang w:val="en-CA" w:eastAsia="zh-TW"/>
    </w:rPr>
  </w:style>
  <w:style w:type="paragraph" w:customStyle="1" w:styleId="Figurecaptionspaceafter">
    <w:name w:val="Figure caption space after"/>
    <w:basedOn w:val="Figurecaption"/>
    <w:uiPriority w:val="1"/>
    <w:qFormat/>
    <w:rsid w:val="00547E4B"/>
  </w:style>
  <w:style w:type="paragraph" w:customStyle="1" w:styleId="Source">
    <w:name w:val="Source"/>
    <w:basedOn w:val="Normal"/>
    <w:uiPriority w:val="1"/>
    <w:rsid w:val="00547E4B"/>
    <w:pPr>
      <w:tabs>
        <w:tab w:val="clear" w:pos="1134"/>
      </w:tabs>
      <w:spacing w:after="240" w:line="200" w:lineRule="exact"/>
      <w:ind w:left="357"/>
      <w:jc w:val="left"/>
    </w:pPr>
    <w:rPr>
      <w:rFonts w:eastAsiaTheme="minorEastAsia" w:cstheme="majorBidi"/>
      <w:color w:val="000000" w:themeColor="text1"/>
      <w:sz w:val="16"/>
      <w:szCs w:val="16"/>
      <w:lang w:val="en-CA" w:eastAsia="zh-TW"/>
    </w:rPr>
  </w:style>
  <w:style w:type="paragraph" w:customStyle="1" w:styleId="Tablecaption">
    <w:name w:val="Table caption"/>
    <w:basedOn w:val="Normal"/>
    <w:uiPriority w:val="1"/>
    <w:rsid w:val="00547E4B"/>
    <w:pPr>
      <w:keepNext/>
      <w:tabs>
        <w:tab w:val="clear" w:pos="1134"/>
      </w:tabs>
      <w:spacing w:before="240" w:after="240" w:line="240" w:lineRule="exact"/>
      <w:jc w:val="center"/>
    </w:pPr>
    <w:rPr>
      <w:rFonts w:eastAsiaTheme="minorEastAsia" w:cstheme="majorBidi"/>
      <w:b/>
      <w:bCs/>
      <w:color w:val="7F7F7F" w:themeColor="text1" w:themeTint="80"/>
      <w:lang w:val="en-CA" w:eastAsia="zh-TW"/>
    </w:rPr>
  </w:style>
  <w:style w:type="paragraph" w:customStyle="1" w:styleId="Tableheader">
    <w:name w:val="Table header"/>
    <w:basedOn w:val="Normal"/>
    <w:link w:val="TableheaderChar"/>
    <w:uiPriority w:val="1"/>
    <w:rsid w:val="00547E4B"/>
    <w:pPr>
      <w:tabs>
        <w:tab w:val="clear" w:pos="1134"/>
      </w:tabs>
      <w:spacing w:before="125" w:after="125" w:line="220" w:lineRule="exact"/>
      <w:jc w:val="center"/>
    </w:pPr>
    <w:rPr>
      <w:rFonts w:eastAsiaTheme="minorEastAsia" w:cstheme="majorBidi"/>
      <w:i/>
      <w:iCs/>
      <w:color w:val="000000" w:themeColor="text1"/>
      <w:sz w:val="18"/>
      <w:szCs w:val="18"/>
      <w:lang w:val="en-CA"/>
    </w:rPr>
  </w:style>
  <w:style w:type="character" w:customStyle="1" w:styleId="TableheaderChar">
    <w:name w:val="Table header Char"/>
    <w:basedOn w:val="DefaultParagraphFont"/>
    <w:link w:val="Tableheader"/>
    <w:uiPriority w:val="1"/>
    <w:rsid w:val="00547E4B"/>
    <w:rPr>
      <w:rFonts w:ascii="Verdana" w:eastAsiaTheme="minorEastAsia" w:hAnsi="Verdana" w:cstheme="majorBidi"/>
      <w:i/>
      <w:iCs/>
      <w:color w:val="000000" w:themeColor="text1"/>
      <w:sz w:val="18"/>
      <w:szCs w:val="18"/>
      <w:lang w:val="en-CA" w:eastAsia="en-US"/>
    </w:rPr>
  </w:style>
  <w:style w:type="paragraph" w:customStyle="1" w:styleId="Tablebody">
    <w:name w:val="Table body"/>
    <w:basedOn w:val="Normal"/>
    <w:link w:val="TablebodyChar"/>
    <w:uiPriority w:val="1"/>
    <w:rsid w:val="00547E4B"/>
    <w:pPr>
      <w:tabs>
        <w:tab w:val="clear" w:pos="1134"/>
      </w:tabs>
      <w:spacing w:line="220" w:lineRule="exact"/>
      <w:jc w:val="left"/>
    </w:pPr>
    <w:rPr>
      <w:rFonts w:eastAsiaTheme="minorEastAsia" w:cstheme="majorBidi"/>
      <w:color w:val="000000" w:themeColor="text1"/>
      <w:sz w:val="18"/>
      <w:szCs w:val="18"/>
      <w:lang w:val="en-CA" w:eastAsia="zh-TW"/>
    </w:rPr>
  </w:style>
  <w:style w:type="character" w:customStyle="1" w:styleId="TablebodyChar">
    <w:name w:val="Table body Char"/>
    <w:basedOn w:val="DefaultParagraphFont"/>
    <w:link w:val="Tablebody"/>
    <w:uiPriority w:val="1"/>
    <w:rsid w:val="00547E4B"/>
    <w:rPr>
      <w:rFonts w:ascii="Verdana" w:eastAsiaTheme="minorEastAsia" w:hAnsi="Verdana" w:cstheme="majorBidi"/>
      <w:color w:val="000000" w:themeColor="text1"/>
      <w:sz w:val="18"/>
      <w:szCs w:val="18"/>
      <w:lang w:val="en-CA"/>
    </w:rPr>
  </w:style>
  <w:style w:type="paragraph" w:customStyle="1" w:styleId="Tablenarrow2">
    <w:name w:val="Table narrow2"/>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Tablenarrrow">
    <w:name w:val="Table narrrow"/>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Tablebracket">
    <w:name w:val="Table bracket"/>
    <w:basedOn w:val="Tablebody"/>
    <w:uiPriority w:val="1"/>
    <w:qFormat/>
    <w:rsid w:val="00547E4B"/>
  </w:style>
  <w:style w:type="paragraph" w:customStyle="1" w:styleId="Tablebodytrackingminus10">
    <w:name w:val="Table body tracking minus 10"/>
    <w:basedOn w:val="Normal"/>
    <w:uiPriority w:val="1"/>
    <w:rsid w:val="00547E4B"/>
    <w:pPr>
      <w:tabs>
        <w:tab w:val="clear" w:pos="1134"/>
      </w:tabs>
      <w:spacing w:line="276" w:lineRule="auto"/>
      <w:jc w:val="left"/>
    </w:pPr>
    <w:rPr>
      <w:rFonts w:eastAsiaTheme="minorEastAsia" w:cstheme="minorBidi"/>
      <w:color w:val="1A1A1A"/>
      <w:sz w:val="18"/>
      <w:szCs w:val="18"/>
      <w:lang w:val="en-CA" w:eastAsia="zh-TW"/>
    </w:rPr>
  </w:style>
  <w:style w:type="paragraph" w:customStyle="1" w:styleId="Tablebodycentredtrackingminus10">
    <w:name w:val="Table body centred tracking minus 10"/>
    <w:qFormat/>
    <w:rsid w:val="00547E4B"/>
    <w:pPr>
      <w:spacing w:line="220" w:lineRule="exact"/>
      <w:jc w:val="center"/>
    </w:pPr>
    <w:rPr>
      <w:rFonts w:ascii="Verdana" w:eastAsiaTheme="minorHAnsi" w:hAnsi="Verdana" w:cstheme="majorBidi"/>
      <w:color w:val="000000" w:themeColor="text1"/>
      <w:spacing w:val="-6"/>
      <w:w w:val="99"/>
      <w:sz w:val="18"/>
      <w:lang w:val="en-GB"/>
    </w:rPr>
  </w:style>
  <w:style w:type="paragraph" w:customStyle="1" w:styleId="Tablebodyshaded">
    <w:name w:val="Table body shaded"/>
    <w:basedOn w:val="Normal"/>
    <w:uiPriority w:val="1"/>
    <w:rsid w:val="00547E4B"/>
    <w:pPr>
      <w:tabs>
        <w:tab w:val="clear" w:pos="1134"/>
      </w:tabs>
      <w:spacing w:line="276" w:lineRule="auto"/>
      <w:jc w:val="left"/>
    </w:pPr>
    <w:rPr>
      <w:rFonts w:eastAsiaTheme="minorEastAsia" w:cstheme="majorBidi"/>
      <w:color w:val="000000" w:themeColor="text1"/>
      <w:sz w:val="18"/>
      <w:szCs w:val="18"/>
      <w:lang w:val="en-CA" w:eastAsia="zh-TW"/>
    </w:rPr>
  </w:style>
  <w:style w:type="paragraph" w:customStyle="1" w:styleId="Tableshadeddivider">
    <w:name w:val="Table shaded divider"/>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Tablebodycentered">
    <w:name w:val="Table body centered"/>
    <w:basedOn w:val="Normal"/>
    <w:uiPriority w:val="1"/>
    <w:rsid w:val="00547E4B"/>
    <w:pPr>
      <w:tabs>
        <w:tab w:val="clear" w:pos="1134"/>
      </w:tabs>
      <w:spacing w:line="220" w:lineRule="exact"/>
      <w:jc w:val="center"/>
    </w:pPr>
    <w:rPr>
      <w:rFonts w:eastAsiaTheme="minorEastAsia" w:cstheme="majorBidi"/>
      <w:color w:val="000000" w:themeColor="text1"/>
      <w:sz w:val="18"/>
      <w:szCs w:val="18"/>
      <w:lang w:val="en-CA" w:eastAsia="zh-TW"/>
    </w:rPr>
  </w:style>
  <w:style w:type="paragraph" w:customStyle="1" w:styleId="Tablebodyindent1">
    <w:name w:val="Table body indent 1"/>
    <w:basedOn w:val="Normal"/>
    <w:uiPriority w:val="1"/>
    <w:rsid w:val="00547E4B"/>
    <w:pPr>
      <w:tabs>
        <w:tab w:val="clear" w:pos="1134"/>
        <w:tab w:val="left" w:pos="360"/>
      </w:tabs>
      <w:spacing w:line="220" w:lineRule="exact"/>
      <w:ind w:left="357" w:hanging="357"/>
      <w:jc w:val="left"/>
    </w:pPr>
    <w:rPr>
      <w:rFonts w:eastAsiaTheme="minorEastAsia" w:cstheme="majorBidi"/>
      <w:color w:val="000000" w:themeColor="text1"/>
      <w:sz w:val="18"/>
      <w:szCs w:val="18"/>
      <w:lang w:val="en-CA" w:eastAsia="zh-TW"/>
    </w:rPr>
  </w:style>
  <w:style w:type="paragraph" w:customStyle="1" w:styleId="Tablebodyindent2">
    <w:name w:val="Table body indent 2"/>
    <w:basedOn w:val="Normal"/>
    <w:uiPriority w:val="1"/>
    <w:rsid w:val="00547E4B"/>
    <w:pPr>
      <w:tabs>
        <w:tab w:val="clear" w:pos="1134"/>
        <w:tab w:val="left" w:pos="720"/>
      </w:tabs>
      <w:spacing w:line="220" w:lineRule="exact"/>
      <w:ind w:left="714" w:hanging="357"/>
      <w:jc w:val="left"/>
    </w:pPr>
    <w:rPr>
      <w:rFonts w:eastAsiaTheme="minorEastAsia" w:cstheme="majorBidi"/>
      <w:color w:val="000000" w:themeColor="text1"/>
      <w:sz w:val="18"/>
      <w:szCs w:val="18"/>
      <w:lang w:val="en-CA" w:eastAsia="zh-TW"/>
    </w:rPr>
  </w:style>
  <w:style w:type="paragraph" w:customStyle="1" w:styleId="Tablenote">
    <w:name w:val="Table note"/>
    <w:basedOn w:val="Normal"/>
    <w:uiPriority w:val="1"/>
    <w:rsid w:val="00547E4B"/>
    <w:pPr>
      <w:tabs>
        <w:tab w:val="clear" w:pos="1134"/>
      </w:tabs>
      <w:spacing w:line="200" w:lineRule="exact"/>
      <w:ind w:left="480" w:hanging="480"/>
      <w:jc w:val="left"/>
    </w:pPr>
    <w:rPr>
      <w:rFonts w:eastAsiaTheme="minorEastAsia" w:cstheme="majorBidi"/>
      <w:color w:val="000000" w:themeColor="text1"/>
      <w:sz w:val="16"/>
      <w:szCs w:val="16"/>
      <w:lang w:val="en-CA" w:eastAsia="zh-TW"/>
    </w:rPr>
  </w:style>
  <w:style w:type="paragraph" w:customStyle="1" w:styleId="Tablenotes">
    <w:name w:val="Table notes"/>
    <w:basedOn w:val="Normal"/>
    <w:uiPriority w:val="1"/>
    <w:rsid w:val="00547E4B"/>
    <w:pPr>
      <w:tabs>
        <w:tab w:val="clear" w:pos="1134"/>
      </w:tabs>
      <w:spacing w:line="200" w:lineRule="exact"/>
      <w:ind w:left="240" w:hanging="240"/>
      <w:jc w:val="left"/>
    </w:pPr>
    <w:rPr>
      <w:rFonts w:eastAsiaTheme="minorEastAsia" w:cstheme="majorBidi"/>
      <w:color w:val="000000" w:themeColor="text1"/>
      <w:sz w:val="16"/>
      <w:szCs w:val="16"/>
      <w:lang w:val="en-CA" w:eastAsia="zh-TW"/>
    </w:rPr>
  </w:style>
  <w:style w:type="paragraph" w:customStyle="1" w:styleId="Tableastext">
    <w:name w:val="Table as text"/>
    <w:qFormat/>
    <w:rsid w:val="00547E4B"/>
    <w:pPr>
      <w:spacing w:after="120"/>
    </w:pPr>
    <w:rPr>
      <w:rFonts w:ascii="Verdana" w:eastAsiaTheme="minorHAnsi" w:hAnsi="Verdana" w:cstheme="majorBidi"/>
      <w:color w:val="000000" w:themeColor="text1"/>
      <w:szCs w:val="22"/>
      <w:lang w:val="en-GB"/>
    </w:rPr>
  </w:style>
  <w:style w:type="paragraph" w:customStyle="1" w:styleId="TableastextNOspace">
    <w:name w:val="Table as text NO space"/>
    <w:basedOn w:val="Normal"/>
    <w:uiPriority w:val="1"/>
    <w:rsid w:val="00547E4B"/>
    <w:pPr>
      <w:tabs>
        <w:tab w:val="clear" w:pos="1134"/>
      </w:tabs>
      <w:spacing w:line="240" w:lineRule="exact"/>
      <w:jc w:val="left"/>
    </w:pPr>
    <w:rPr>
      <w:rFonts w:eastAsiaTheme="minorEastAsia" w:cstheme="majorBidi"/>
      <w:color w:val="000000" w:themeColor="text1"/>
      <w:lang w:val="en-CA" w:eastAsia="zh-TW"/>
    </w:rPr>
  </w:style>
  <w:style w:type="paragraph" w:customStyle="1" w:styleId="TOC00Part">
    <w:name w:val="TOC 00 Part"/>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TOC0digit">
    <w:name w:val="TOC 0 digit"/>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TOC1digit">
    <w:name w:val="TOC 1 digit"/>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TOC2digit">
    <w:name w:val="TOC 2 digit"/>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TOC3digit">
    <w:name w:val="TOC 3 digit"/>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TOC1digitlong">
    <w:name w:val="TOC 1 digit long"/>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TOC2digitlong">
    <w:name w:val="TOC 2 digit long"/>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TOC3digitlong">
    <w:name w:val="TOC 3 digit long"/>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TOCBook1">
    <w:name w:val="TOC Book 1"/>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ToCGuidelines0">
    <w:name w:val="ToC Guidelines 0"/>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ToCGuidelines1">
    <w:name w:val="ToC Guidelines 1"/>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ToCCODES1">
    <w:name w:val="ToC CODES 1"/>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ToCCODES2">
    <w:name w:val="ToC CODES 2"/>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ToCCODES3">
    <w:name w:val="ToC CODES 3"/>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EditorialNoteHeading">
    <w:name w:val="Editorial Note Heading"/>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character" w:customStyle="1" w:styleId="Bold">
    <w:name w:val="Bold"/>
    <w:rsid w:val="00547E4B"/>
    <w:rPr>
      <w:b/>
    </w:rPr>
  </w:style>
  <w:style w:type="character" w:customStyle="1" w:styleId="Bolditalic">
    <w:name w:val="Bold italic"/>
    <w:rsid w:val="00547E4B"/>
    <w:rPr>
      <w:b/>
      <w:i/>
    </w:rPr>
  </w:style>
  <w:style w:type="character" w:customStyle="1" w:styleId="Enspace">
    <w:name w:val="En space"/>
    <w:rsid w:val="00547E4B"/>
    <w:rPr>
      <w:bdr w:val="single" w:sz="4" w:space="0" w:color="auto"/>
      <w:lang w:val="fr-FR"/>
    </w:rPr>
  </w:style>
  <w:style w:type="character" w:customStyle="1" w:styleId="Hairspacenobreak">
    <w:name w:val="Hairspace_no_break"/>
    <w:rsid w:val="00547E4B"/>
    <w:rPr>
      <w:spacing w:val="0"/>
      <w:bdr w:val="dotted" w:sz="2" w:space="0" w:color="auto"/>
    </w:rPr>
  </w:style>
  <w:style w:type="character" w:customStyle="1" w:styleId="Hairspacebreak">
    <w:name w:val="Hairspace_break"/>
    <w:rsid w:val="00547E4B"/>
    <w:rPr>
      <w:bdr w:val="single" w:sz="4" w:space="0" w:color="00B0F0"/>
    </w:rPr>
  </w:style>
  <w:style w:type="character" w:customStyle="1" w:styleId="HyperlinkItalic">
    <w:name w:val="Hyperlink Italic"/>
    <w:rsid w:val="00547E4B"/>
    <w:rPr>
      <w:i/>
      <w:color w:val="0000FF"/>
    </w:rPr>
  </w:style>
  <w:style w:type="character" w:customStyle="1" w:styleId="Italic">
    <w:name w:val="Italic"/>
    <w:basedOn w:val="DefaultParagraphFont"/>
    <w:qFormat/>
    <w:rsid w:val="00547E4B"/>
    <w:rPr>
      <w:i/>
    </w:rPr>
  </w:style>
  <w:style w:type="character" w:customStyle="1" w:styleId="Medium">
    <w:name w:val="Medium"/>
    <w:rsid w:val="00547E4B"/>
    <w:rPr>
      <w:b w:val="0"/>
    </w:rPr>
  </w:style>
  <w:style w:type="character" w:customStyle="1" w:styleId="Semibold">
    <w:name w:val="Semi bold"/>
    <w:basedOn w:val="DefaultParagraphFont"/>
    <w:qFormat/>
    <w:rsid w:val="00547E4B"/>
    <w:rPr>
      <w:b/>
      <w:color w:val="7F7F7F" w:themeColor="text1" w:themeTint="80"/>
    </w:rPr>
  </w:style>
  <w:style w:type="character" w:customStyle="1" w:styleId="Semibolditalic">
    <w:name w:val="Semi bold italic"/>
    <w:qFormat/>
    <w:rsid w:val="00547E4B"/>
    <w:rPr>
      <w:b/>
      <w:i/>
      <w:color w:val="7F7F7F" w:themeColor="text1" w:themeTint="80"/>
    </w:rPr>
  </w:style>
  <w:style w:type="character" w:customStyle="1" w:styleId="Spacenon-breaking">
    <w:name w:val="Space non-breaking"/>
    <w:rsid w:val="00547E4B"/>
    <w:rPr>
      <w:bdr w:val="dashed" w:sz="2" w:space="0" w:color="auto"/>
    </w:rPr>
  </w:style>
  <w:style w:type="character" w:customStyle="1" w:styleId="Subscript">
    <w:name w:val="Subscript"/>
    <w:rsid w:val="00547E4B"/>
    <w:rPr>
      <w:vertAlign w:val="subscript"/>
    </w:rPr>
  </w:style>
  <w:style w:type="character" w:customStyle="1" w:styleId="Subscriptitalic">
    <w:name w:val="Subscript italic"/>
    <w:rsid w:val="00547E4B"/>
    <w:rPr>
      <w:i/>
      <w:vertAlign w:val="subscript"/>
    </w:rPr>
  </w:style>
  <w:style w:type="character" w:customStyle="1" w:styleId="Subscriptsemibold">
    <w:name w:val="Subscript semi bold"/>
    <w:rsid w:val="00547E4B"/>
    <w:rPr>
      <w:b/>
      <w:color w:val="808080" w:themeColor="background1" w:themeShade="80"/>
      <w:vertAlign w:val="subscript"/>
    </w:rPr>
  </w:style>
  <w:style w:type="character" w:customStyle="1" w:styleId="Superscript">
    <w:name w:val="Superscript"/>
    <w:basedOn w:val="DefaultParagraphFont"/>
    <w:qFormat/>
    <w:rsid w:val="00547E4B"/>
    <w:rPr>
      <w:vertAlign w:val="superscript"/>
    </w:rPr>
  </w:style>
  <w:style w:type="character" w:customStyle="1" w:styleId="Superscriptitalic">
    <w:name w:val="Superscript italic"/>
    <w:rsid w:val="00547E4B"/>
    <w:rPr>
      <w:i/>
      <w:vertAlign w:val="superscript"/>
    </w:rPr>
  </w:style>
  <w:style w:type="character" w:customStyle="1" w:styleId="Superscriptsemibold">
    <w:name w:val="Superscript semi bold"/>
    <w:rsid w:val="00547E4B"/>
    <w:rPr>
      <w:b/>
      <w:color w:val="7F7F7F" w:themeColor="text1" w:themeTint="80"/>
      <w:vertAlign w:val="superscript"/>
    </w:rPr>
  </w:style>
  <w:style w:type="character" w:customStyle="1" w:styleId="Runningheads">
    <w:name w:val="Running_heads"/>
    <w:rsid w:val="00547E4B"/>
  </w:style>
  <w:style w:type="character" w:customStyle="1" w:styleId="Serif">
    <w:name w:val="Serif"/>
    <w:basedOn w:val="Medium"/>
    <w:qFormat/>
    <w:rsid w:val="00547E4B"/>
    <w:rPr>
      <w:rFonts w:ascii="Times New Roman" w:hAnsi="Times New Roman"/>
      <w:b w:val="0"/>
    </w:rPr>
  </w:style>
  <w:style w:type="character" w:customStyle="1" w:styleId="Serifsubscript">
    <w:name w:val="Serif subscript"/>
    <w:basedOn w:val="Subscript"/>
    <w:qFormat/>
    <w:rsid w:val="00547E4B"/>
    <w:rPr>
      <w:rFonts w:ascii="Times New Roman" w:hAnsi="Times New Roman"/>
      <w:vertAlign w:val="subscript"/>
    </w:rPr>
  </w:style>
  <w:style w:type="character" w:customStyle="1" w:styleId="Serifsuperscript">
    <w:name w:val="Serif superscript"/>
    <w:basedOn w:val="Serifsubscript"/>
    <w:qFormat/>
    <w:rsid w:val="00547E4B"/>
    <w:rPr>
      <w:rFonts w:ascii="Times New Roman" w:hAnsi="Times New Roman"/>
      <w:b w:val="0"/>
      <w:i w:val="0"/>
      <w:vertAlign w:val="superscript"/>
    </w:rPr>
  </w:style>
  <w:style w:type="character" w:customStyle="1" w:styleId="Serifitalic">
    <w:name w:val="Serif italic"/>
    <w:rsid w:val="00547E4B"/>
    <w:rPr>
      <w:rFonts w:ascii="Times New Roman" w:hAnsi="Times New Roman"/>
      <w:i/>
    </w:rPr>
  </w:style>
  <w:style w:type="character" w:customStyle="1" w:styleId="Serifitalicsubscript">
    <w:name w:val="Serif italic subscript"/>
    <w:rsid w:val="00547E4B"/>
    <w:rPr>
      <w:rFonts w:ascii="Times New Roman" w:hAnsi="Times New Roman"/>
      <w:i/>
      <w:vertAlign w:val="subscript"/>
    </w:rPr>
  </w:style>
  <w:style w:type="character" w:customStyle="1" w:styleId="Serifitalicsuperscript">
    <w:name w:val="Serif italic superscript"/>
    <w:rsid w:val="00547E4B"/>
    <w:rPr>
      <w:rFonts w:ascii="Times New Roman" w:hAnsi="Times New Roman"/>
      <w:i/>
      <w:vertAlign w:val="superscript"/>
    </w:rPr>
  </w:style>
  <w:style w:type="character" w:customStyle="1" w:styleId="Serifitalicsemibold">
    <w:name w:val="Serif italic semi bold"/>
    <w:rsid w:val="00547E4B"/>
    <w:rPr>
      <w:rFonts w:ascii="Times New Roman" w:hAnsi="Times New Roman"/>
      <w:b/>
      <w:i/>
      <w:color w:val="7F7F7F" w:themeColor="text1" w:themeTint="80"/>
      <w:sz w:val="20"/>
      <w:szCs w:val="20"/>
    </w:rPr>
  </w:style>
  <w:style w:type="character" w:customStyle="1" w:styleId="Serifitalicsubscriptsemibold">
    <w:name w:val="Serif italic subscript semi bold"/>
    <w:rsid w:val="00547E4B"/>
    <w:rPr>
      <w:rFonts w:ascii="Times New Roman" w:hAnsi="Times New Roman"/>
      <w:b/>
      <w:i/>
      <w:color w:val="7F7F7F" w:themeColor="text1" w:themeTint="80"/>
      <w:sz w:val="20"/>
      <w:szCs w:val="20"/>
      <w:vertAlign w:val="subscript"/>
    </w:rPr>
  </w:style>
  <w:style w:type="character" w:customStyle="1" w:styleId="Serifitalicsuperscriptsemibold">
    <w:name w:val="Serif italic superscript semi bold"/>
    <w:rsid w:val="00547E4B"/>
    <w:rPr>
      <w:rFonts w:ascii="Times New Roman" w:hAnsi="Times New Roman"/>
      <w:b/>
      <w:i/>
      <w:color w:val="7F7F7F" w:themeColor="text1" w:themeTint="80"/>
      <w:sz w:val="20"/>
      <w:szCs w:val="20"/>
      <w:vertAlign w:val="superscript"/>
    </w:rPr>
  </w:style>
  <w:style w:type="character" w:customStyle="1" w:styleId="Stix">
    <w:name w:val="Stix"/>
    <w:rsid w:val="00547E4B"/>
    <w:rPr>
      <w:rFonts w:ascii="STIX" w:hAnsi="STIX"/>
    </w:rPr>
  </w:style>
  <w:style w:type="character" w:customStyle="1" w:styleId="StixMath">
    <w:name w:val="Stix Math"/>
    <w:rsid w:val="00547E4B"/>
  </w:style>
  <w:style w:type="character" w:customStyle="1" w:styleId="Stixsuperscript">
    <w:name w:val="Stix superscript"/>
    <w:rsid w:val="00547E4B"/>
    <w:rPr>
      <w:rFonts w:ascii="STIX Math" w:hAnsi="STIX Math"/>
      <w:spacing w:val="0"/>
      <w:vertAlign w:val="superscript"/>
    </w:rPr>
  </w:style>
  <w:style w:type="character" w:customStyle="1" w:styleId="Stixsubscript">
    <w:name w:val="Stix subscript"/>
    <w:rsid w:val="00547E4B"/>
    <w:rPr>
      <w:rFonts w:ascii="STIX Math" w:hAnsi="STIX Math"/>
      <w:spacing w:val="0"/>
      <w:vertAlign w:val="subscript"/>
    </w:rPr>
  </w:style>
  <w:style w:type="character" w:customStyle="1" w:styleId="Stixitalic">
    <w:name w:val="Stix italic"/>
    <w:rsid w:val="00547E4B"/>
    <w:rPr>
      <w:rFonts w:ascii="STIX" w:hAnsi="STIX"/>
      <w:i/>
    </w:rPr>
  </w:style>
  <w:style w:type="character" w:customStyle="1" w:styleId="Stixitalicsuperscript">
    <w:name w:val="Stix italic superscript"/>
    <w:rsid w:val="00547E4B"/>
    <w:rPr>
      <w:rFonts w:ascii="STIX Math" w:hAnsi="STIX Math"/>
      <w:i/>
      <w:spacing w:val="0"/>
      <w:vertAlign w:val="superscript"/>
    </w:rPr>
  </w:style>
  <w:style w:type="character" w:customStyle="1" w:styleId="Stixitalicsubscript">
    <w:name w:val="Stix italic subscript"/>
    <w:rsid w:val="00547E4B"/>
    <w:rPr>
      <w:rFonts w:ascii="STIX Math" w:hAnsi="STIX Math"/>
      <w:i/>
      <w:spacing w:val="0"/>
      <w:vertAlign w:val="subscript"/>
    </w:rPr>
  </w:style>
  <w:style w:type="character" w:customStyle="1" w:styleId="tablerownobreak">
    <w:name w:val="table row no break"/>
    <w:qFormat/>
    <w:rsid w:val="00547E4B"/>
    <w:rPr>
      <w:color w:val="FF33CC"/>
      <w:bdr w:val="single" w:sz="8" w:space="0" w:color="FF33CC"/>
    </w:rPr>
  </w:style>
  <w:style w:type="character" w:customStyle="1" w:styleId="Tiny">
    <w:name w:val="Tiny"/>
    <w:rsid w:val="00547E4B"/>
  </w:style>
  <w:style w:type="character" w:customStyle="1" w:styleId="Hyperlinkitalic0">
    <w:name w:val="Hyperlink italic"/>
    <w:basedOn w:val="Hyperlink"/>
    <w:uiPriority w:val="1"/>
    <w:qFormat/>
    <w:rsid w:val="00547E4B"/>
    <w:rPr>
      <w:i/>
      <w:color w:val="0000FF" w:themeColor="hyperlink"/>
      <w:u w:val="none"/>
    </w:rPr>
  </w:style>
  <w:style w:type="paragraph" w:customStyle="1" w:styleId="TOC2digits">
    <w:name w:val="TOC 2 digits"/>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TOC3digits">
    <w:name w:val="TOC 3 digits"/>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character" w:customStyle="1" w:styleId="Sericitalic">
    <w:name w:val="Seric italic"/>
    <w:basedOn w:val="Italic"/>
    <w:uiPriority w:val="1"/>
    <w:qFormat/>
    <w:rsid w:val="00547E4B"/>
    <w:rPr>
      <w:rFonts w:ascii="Times New Roman" w:hAnsi="Times New Roman"/>
      <w:i/>
    </w:rPr>
  </w:style>
  <w:style w:type="character" w:customStyle="1" w:styleId="Serifsubscriptitalic">
    <w:name w:val="Serif subscript italic"/>
    <w:basedOn w:val="Subscriptitalic"/>
    <w:uiPriority w:val="1"/>
    <w:qFormat/>
    <w:rsid w:val="00547E4B"/>
    <w:rPr>
      <w:rFonts w:ascii="Times New Roman" w:hAnsi="Times New Roman"/>
      <w:i/>
      <w:vertAlign w:val="subscript"/>
    </w:rPr>
  </w:style>
  <w:style w:type="character" w:customStyle="1" w:styleId="Serifsupersciptitalic">
    <w:name w:val="Serif superscipt italic"/>
    <w:basedOn w:val="Serifsuperscript"/>
    <w:uiPriority w:val="1"/>
    <w:qFormat/>
    <w:rsid w:val="00547E4B"/>
    <w:rPr>
      <w:rFonts w:ascii="Times New Roman" w:hAnsi="Times New Roman"/>
      <w:b w:val="0"/>
      <w:i/>
      <w:vertAlign w:val="superscript"/>
    </w:rPr>
  </w:style>
  <w:style w:type="paragraph" w:customStyle="1" w:styleId="Noteindent2Spaceafter">
    <w:name w:val="Note indent 2 Space after"/>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Bodytextsemibold0">
    <w:name w:val="Body_text_semibold"/>
    <w:uiPriority w:val="1"/>
    <w:qFormat/>
    <w:rsid w:val="00547E4B"/>
    <w:pPr>
      <w:tabs>
        <w:tab w:val="left" w:pos="1120"/>
      </w:tabs>
      <w:spacing w:after="240" w:line="240" w:lineRule="exact"/>
    </w:pPr>
    <w:rPr>
      <w:rFonts w:ascii="Verdana" w:eastAsiaTheme="minorHAnsi" w:hAnsi="Verdana" w:cstheme="majorBidi"/>
      <w:b/>
      <w:color w:val="7F7F7F" w:themeColor="text1" w:themeTint="80"/>
      <w:szCs w:val="22"/>
      <w:lang w:val="en-GB"/>
    </w:rPr>
  </w:style>
  <w:style w:type="character" w:customStyle="1" w:styleId="Serifmedium">
    <w:name w:val="Serif medium"/>
    <w:basedOn w:val="Sericitalic"/>
    <w:uiPriority w:val="1"/>
    <w:qFormat/>
    <w:rsid w:val="00547E4B"/>
    <w:rPr>
      <w:rFonts w:ascii="Times New Roman" w:hAnsi="Times New Roman"/>
      <w:i w:val="0"/>
    </w:rPr>
  </w:style>
  <w:style w:type="paragraph" w:customStyle="1" w:styleId="COVERSUBTITLE0">
    <w:name w:val="COVER SUBTITLE"/>
    <w:basedOn w:val="Normal"/>
    <w:uiPriority w:val="1"/>
    <w:rsid w:val="00547E4B"/>
    <w:pPr>
      <w:tabs>
        <w:tab w:val="clear" w:pos="1134"/>
      </w:tabs>
      <w:spacing w:after="240" w:line="276" w:lineRule="auto"/>
      <w:jc w:val="left"/>
    </w:pPr>
    <w:rPr>
      <w:rFonts w:eastAsiaTheme="minorEastAsia" w:cstheme="majorBidi"/>
      <w:b/>
      <w:bCs/>
      <w:color w:val="000000" w:themeColor="text1"/>
      <w:sz w:val="24"/>
      <w:szCs w:val="24"/>
      <w:lang w:val="en-CA" w:eastAsia="zh-TW"/>
    </w:rPr>
  </w:style>
  <w:style w:type="paragraph" w:customStyle="1" w:styleId="bracket">
    <w:name w:val="bracket"/>
    <w:basedOn w:val="Tablebody"/>
    <w:uiPriority w:val="1"/>
    <w:qFormat/>
    <w:rsid w:val="00547E4B"/>
  </w:style>
  <w:style w:type="character" w:styleId="BookTitle">
    <w:name w:val="Book Title"/>
    <w:basedOn w:val="DefaultParagraphFont"/>
    <w:uiPriority w:val="1"/>
    <w:qFormat/>
    <w:rsid w:val="00547E4B"/>
    <w:rPr>
      <w:b/>
      <w:bCs/>
      <w:smallCaps/>
      <w:spacing w:val="5"/>
    </w:rPr>
  </w:style>
  <w:style w:type="paragraph" w:customStyle="1" w:styleId="TPSSection">
    <w:name w:val="TPS Section"/>
    <w:basedOn w:val="TPSMarkupBase"/>
    <w:next w:val="Normal"/>
    <w:uiPriority w:val="1"/>
    <w:rsid w:val="00547E4B"/>
    <w:pPr>
      <w:pBdr>
        <w:top w:val="single" w:sz="4" w:space="3" w:color="auto"/>
      </w:pBdr>
      <w:shd w:val="clear" w:color="auto" w:fill="87A982"/>
    </w:pPr>
    <w:rPr>
      <w:b/>
    </w:rPr>
  </w:style>
  <w:style w:type="paragraph" w:customStyle="1" w:styleId="TPSMarkupBase">
    <w:name w:val="TPS Markup Base"/>
    <w:uiPriority w:val="1"/>
    <w:rsid w:val="00547E4B"/>
    <w:pPr>
      <w:spacing w:line="300" w:lineRule="auto"/>
    </w:pPr>
    <w:rPr>
      <w:rFonts w:ascii="Arial" w:eastAsia="Times New Roman" w:hAnsi="Arial"/>
      <w:color w:val="2F275B"/>
      <w:sz w:val="18"/>
      <w:szCs w:val="24"/>
      <w:lang w:eastAsia="en-US"/>
    </w:rPr>
  </w:style>
  <w:style w:type="paragraph" w:customStyle="1" w:styleId="TPSSectionData">
    <w:name w:val="TPS Section Data"/>
    <w:basedOn w:val="TPSMarkupBase"/>
    <w:next w:val="Normal"/>
    <w:uiPriority w:val="1"/>
    <w:rsid w:val="00547E4B"/>
    <w:pPr>
      <w:shd w:val="clear" w:color="auto" w:fill="87A982"/>
    </w:pPr>
  </w:style>
  <w:style w:type="character" w:customStyle="1" w:styleId="SerifSemiBoldItalic">
    <w:name w:val="Serif Semi Bold Italic"/>
    <w:uiPriority w:val="99"/>
    <w:rsid w:val="00547E4B"/>
    <w:rPr>
      <w:rFonts w:ascii="StoneSerif-SemiboldItalic" w:hAnsi="StoneSerif-SemiboldItalic" w:cs="StoneSerif-SemiboldItalic"/>
      <w:i/>
      <w:iCs/>
      <w:u w:val="none"/>
    </w:rPr>
  </w:style>
  <w:style w:type="character" w:customStyle="1" w:styleId="SansSerif">
    <w:name w:val="Sans Serif"/>
    <w:uiPriority w:val="99"/>
    <w:rsid w:val="00547E4B"/>
    <w:rPr>
      <w:rFonts w:ascii="StoneSans" w:hAnsi="StoneSans" w:cs="StoneSans"/>
    </w:rPr>
  </w:style>
  <w:style w:type="character" w:customStyle="1" w:styleId="SansSemiBold">
    <w:name w:val="Sans Semi Bold"/>
    <w:uiPriority w:val="99"/>
    <w:rsid w:val="00547E4B"/>
    <w:rPr>
      <w:rFonts w:ascii="StoneSans-Semibold" w:hAnsi="StoneSans-Semibold" w:cs="StoneSans-Semibold"/>
      <w:w w:val="100"/>
      <w:position w:val="0"/>
      <w:u w:val="none"/>
      <w:vertAlign w:val="baseline"/>
      <w:lang w:val="en-GB"/>
    </w:rPr>
  </w:style>
  <w:style w:type="paragraph" w:customStyle="1" w:styleId="TPSTable">
    <w:name w:val="TPS Table"/>
    <w:basedOn w:val="Normal"/>
    <w:next w:val="Normal"/>
    <w:uiPriority w:val="1"/>
    <w:rsid w:val="00547E4B"/>
    <w:pPr>
      <w:tabs>
        <w:tab w:val="clear" w:pos="1134"/>
      </w:tabs>
      <w:spacing w:line="276" w:lineRule="auto"/>
      <w:jc w:val="left"/>
    </w:pPr>
    <w:rPr>
      <w:rFonts w:ascii="Arial" w:eastAsia="Times New Roman" w:hAnsi="Arial" w:cs="Times New Roman"/>
      <w:b/>
      <w:bCs/>
      <w:color w:val="2F275B"/>
      <w:sz w:val="18"/>
      <w:szCs w:val="18"/>
      <w:lang w:val="en-CA" w:eastAsia="zh-TW"/>
    </w:rPr>
  </w:style>
  <w:style w:type="paragraph" w:customStyle="1" w:styleId="TPSElement">
    <w:name w:val="TPS Element"/>
    <w:basedOn w:val="TPSMarkupBase"/>
    <w:next w:val="Normal"/>
    <w:uiPriority w:val="1"/>
    <w:rsid w:val="00547E4B"/>
    <w:pPr>
      <w:pBdr>
        <w:top w:val="single" w:sz="2" w:space="3" w:color="auto"/>
      </w:pBdr>
      <w:shd w:val="clear" w:color="auto" w:fill="C9D5B3"/>
    </w:pPr>
    <w:rPr>
      <w:b/>
    </w:rPr>
  </w:style>
  <w:style w:type="paragraph" w:customStyle="1" w:styleId="TPSElementData">
    <w:name w:val="TPS Element Data"/>
    <w:basedOn w:val="TPSMarkupBase"/>
    <w:next w:val="Normal"/>
    <w:uiPriority w:val="1"/>
    <w:rsid w:val="00547E4B"/>
    <w:pPr>
      <w:shd w:val="clear" w:color="auto" w:fill="C9D5B3"/>
    </w:pPr>
  </w:style>
  <w:style w:type="paragraph" w:customStyle="1" w:styleId="TPSElementEnd">
    <w:name w:val="TPS Element End"/>
    <w:basedOn w:val="TPSMarkupBase"/>
    <w:next w:val="Normal"/>
    <w:uiPriority w:val="1"/>
    <w:rsid w:val="00547E4B"/>
    <w:pPr>
      <w:pBdr>
        <w:bottom w:val="single" w:sz="2" w:space="1" w:color="auto"/>
      </w:pBdr>
      <w:shd w:val="clear" w:color="auto" w:fill="C9D5B3"/>
    </w:pPr>
    <w:rPr>
      <w:b/>
    </w:rPr>
  </w:style>
  <w:style w:type="paragraph" w:customStyle="1" w:styleId="ChapterheadNospace">
    <w:name w:val="Chapter head + No space"/>
    <w:basedOn w:val="Chapterhead"/>
    <w:uiPriority w:val="99"/>
    <w:rsid w:val="00547E4B"/>
    <w:pPr>
      <w:keepNext w:val="0"/>
      <w:widowControl w:val="0"/>
      <w:tabs>
        <w:tab w:val="center" w:pos="4700"/>
      </w:tabs>
      <w:suppressAutoHyphens/>
      <w:autoSpaceDE w:val="0"/>
      <w:autoSpaceDN w:val="0"/>
      <w:adjustRightInd w:val="0"/>
      <w:spacing w:after="0" w:line="280" w:lineRule="atLeast"/>
      <w:textAlignment w:val="center"/>
      <w:outlineLvl w:val="9"/>
    </w:pPr>
    <w:rPr>
      <w:rFonts w:ascii="StoneSans-Bold" w:eastAsiaTheme="minorEastAsia" w:hAnsi="StoneSans-Bold" w:cs="StoneSans-Bold"/>
      <w:bCs/>
      <w:color w:val="000000"/>
      <w:w w:val="95"/>
      <w:szCs w:val="24"/>
    </w:rPr>
  </w:style>
  <w:style w:type="paragraph" w:customStyle="1" w:styleId="Body">
    <w:name w:val="Body"/>
    <w:basedOn w:val="Normal"/>
    <w:uiPriority w:val="99"/>
    <w:rsid w:val="00547E4B"/>
    <w:pPr>
      <w:widowControl w:val="0"/>
      <w:spacing w:after="170" w:line="240" w:lineRule="atLeast"/>
      <w:jc w:val="left"/>
    </w:pPr>
    <w:rPr>
      <w:rFonts w:ascii="StoneSans" w:eastAsiaTheme="minorEastAsia" w:hAnsi="StoneSans" w:cs="StoneSans"/>
      <w:color w:val="000000" w:themeColor="text1"/>
      <w:lang w:val="en-CA"/>
    </w:rPr>
  </w:style>
  <w:style w:type="paragraph" w:customStyle="1" w:styleId="Head1">
    <w:name w:val="Head 1"/>
    <w:basedOn w:val="Body"/>
    <w:next w:val="Normal"/>
    <w:uiPriority w:val="99"/>
    <w:rsid w:val="00547E4B"/>
    <w:pPr>
      <w:spacing w:before="480" w:after="240"/>
      <w:ind w:left="1134" w:hanging="1134"/>
    </w:pPr>
    <w:rPr>
      <w:rFonts w:ascii="StoneSans-Bold" w:hAnsi="StoneSans-Bold" w:cs="StoneSans-Bold"/>
      <w:b/>
      <w:bCs/>
    </w:rPr>
  </w:style>
  <w:style w:type="paragraph" w:customStyle="1" w:styleId="Notespace">
    <w:name w:val="Note + space"/>
    <w:basedOn w:val="Note"/>
    <w:uiPriority w:val="99"/>
    <w:rsid w:val="00547E4B"/>
    <w:pPr>
      <w:widowControl w:val="0"/>
      <w:tabs>
        <w:tab w:val="clear" w:pos="720"/>
        <w:tab w:val="left" w:pos="850"/>
      </w:tabs>
      <w:suppressAutoHyphens/>
      <w:autoSpaceDE w:val="0"/>
      <w:autoSpaceDN w:val="0"/>
      <w:adjustRightInd w:val="0"/>
      <w:spacing w:line="200" w:lineRule="atLeast"/>
      <w:textAlignment w:val="center"/>
    </w:pPr>
    <w:rPr>
      <w:rFonts w:ascii="StoneSans" w:eastAsiaTheme="minorEastAsia" w:hAnsi="StoneSans" w:cs="StoneSans"/>
      <w:color w:val="000000"/>
      <w:szCs w:val="16"/>
    </w:rPr>
  </w:style>
  <w:style w:type="paragraph" w:customStyle="1" w:styleId="Indent1space">
    <w:name w:val="Indent 1 + space"/>
    <w:basedOn w:val="Body"/>
    <w:uiPriority w:val="99"/>
    <w:rsid w:val="00547E4B"/>
    <w:pPr>
      <w:spacing w:after="240"/>
      <w:ind w:left="480" w:hanging="480"/>
    </w:pPr>
  </w:style>
  <w:style w:type="paragraph" w:customStyle="1" w:styleId="Note1">
    <w:name w:val="Note (1)"/>
    <w:basedOn w:val="Body"/>
    <w:uiPriority w:val="99"/>
    <w:rsid w:val="00547E4B"/>
    <w:pPr>
      <w:spacing w:after="0"/>
      <w:ind w:left="400" w:hanging="400"/>
    </w:pPr>
    <w:rPr>
      <w:sz w:val="16"/>
      <w:szCs w:val="16"/>
    </w:rPr>
  </w:style>
  <w:style w:type="paragraph" w:customStyle="1" w:styleId="Note1Space">
    <w:name w:val="Note (1) Space"/>
    <w:basedOn w:val="Body"/>
    <w:uiPriority w:val="99"/>
    <w:rsid w:val="00547E4B"/>
    <w:pPr>
      <w:spacing w:after="240"/>
      <w:ind w:left="400" w:hanging="400"/>
      <w:jc w:val="both"/>
    </w:pPr>
    <w:rPr>
      <w:sz w:val="16"/>
      <w:szCs w:val="16"/>
    </w:rPr>
  </w:style>
  <w:style w:type="paragraph" w:customStyle="1" w:styleId="Indent1BODY">
    <w:name w:val="Indent 1 (BODY)"/>
    <w:basedOn w:val="Normal"/>
    <w:next w:val="Normal"/>
    <w:uiPriority w:val="99"/>
    <w:rsid w:val="00547E4B"/>
    <w:pPr>
      <w:widowControl w:val="0"/>
      <w:tabs>
        <w:tab w:val="clear" w:pos="1134"/>
        <w:tab w:val="left" w:pos="480"/>
      </w:tabs>
      <w:spacing w:after="240" w:line="240" w:lineRule="atLeast"/>
      <w:ind w:left="480" w:hanging="480"/>
      <w:jc w:val="left"/>
    </w:pPr>
    <w:rPr>
      <w:rFonts w:ascii="StoneSansITC-Medium" w:eastAsiaTheme="minorEastAsia" w:hAnsi="StoneSansITC-Medium" w:cs="StoneSansITC-Medium"/>
      <w:color w:val="000000" w:themeColor="text1"/>
      <w:lang w:val="en-CA"/>
    </w:rPr>
  </w:style>
  <w:style w:type="paragraph" w:customStyle="1" w:styleId="ChaptersubheadHEADINGS">
    <w:name w:val="Chapter_subhead (HEADINGS)"/>
    <w:basedOn w:val="Normal"/>
    <w:next w:val="Normal"/>
    <w:uiPriority w:val="99"/>
    <w:rsid w:val="00547E4B"/>
    <w:pPr>
      <w:widowControl w:val="0"/>
      <w:tabs>
        <w:tab w:val="clear" w:pos="1134"/>
        <w:tab w:val="left" w:pos="1120"/>
      </w:tabs>
      <w:spacing w:before="240" w:after="240" w:line="240" w:lineRule="atLeast"/>
      <w:jc w:val="left"/>
    </w:pPr>
    <w:rPr>
      <w:rFonts w:ascii="StoneSansITC-MediumItalic" w:eastAsiaTheme="minorEastAsia" w:hAnsi="StoneSansITC-MediumItalic" w:cs="StoneSansITC-MediumItalic"/>
      <w:i/>
      <w:iCs/>
      <w:color w:val="000000" w:themeColor="text1"/>
      <w:lang w:val="en-CA"/>
    </w:rPr>
  </w:style>
  <w:style w:type="character" w:customStyle="1" w:styleId="DocumentMapChar">
    <w:name w:val="Document Map Char"/>
    <w:basedOn w:val="DefaultParagraphFont"/>
    <w:link w:val="DocumentMap"/>
    <w:uiPriority w:val="99"/>
    <w:semiHidden/>
    <w:rsid w:val="00547E4B"/>
    <w:rPr>
      <w:rFonts w:ascii="Tahoma" w:eastAsia="Arial" w:hAnsi="Tahoma" w:cs="Tahoma"/>
      <w:shd w:val="clear" w:color="auto" w:fill="000080"/>
      <w:lang w:val="en-GB" w:eastAsia="en-US"/>
    </w:rPr>
  </w:style>
  <w:style w:type="paragraph" w:customStyle="1" w:styleId="TableParagraph">
    <w:name w:val="Table Paragraph"/>
    <w:basedOn w:val="Normal"/>
    <w:uiPriority w:val="1"/>
    <w:qFormat/>
    <w:rsid w:val="00547E4B"/>
    <w:pPr>
      <w:widowControl w:val="0"/>
      <w:tabs>
        <w:tab w:val="clear" w:pos="1134"/>
      </w:tabs>
      <w:spacing w:line="276" w:lineRule="auto"/>
      <w:jc w:val="left"/>
    </w:pPr>
    <w:rPr>
      <w:rFonts w:ascii="Times New Roman" w:eastAsia="Times New Roman" w:hAnsi="Times New Roman" w:cs="Times New Roman"/>
      <w:sz w:val="22"/>
      <w:szCs w:val="22"/>
      <w:lang w:val="en-US"/>
    </w:rPr>
  </w:style>
  <w:style w:type="paragraph" w:customStyle="1" w:styleId="Figurecaptiontrackingminus10">
    <w:name w:val="Figure caption tracking minus 10"/>
    <w:basedOn w:val="Normal"/>
    <w:next w:val="Bodytext1"/>
    <w:uiPriority w:val="1"/>
    <w:qFormat/>
    <w:rsid w:val="00547E4B"/>
    <w:pPr>
      <w:tabs>
        <w:tab w:val="clear" w:pos="1134"/>
      </w:tabs>
      <w:spacing w:line="276" w:lineRule="auto"/>
      <w:jc w:val="center"/>
    </w:pPr>
    <w:rPr>
      <w:rFonts w:eastAsiaTheme="minorEastAsia" w:cstheme="majorBidi"/>
      <w:b/>
      <w:bCs/>
      <w:color w:val="595959" w:themeColor="text1" w:themeTint="A6"/>
      <w:lang w:val="en-CA" w:eastAsia="zh-TW"/>
    </w:rPr>
  </w:style>
  <w:style w:type="paragraph" w:customStyle="1" w:styleId="Indent5">
    <w:name w:val="Indent 5"/>
    <w:qFormat/>
    <w:rsid w:val="00547E4B"/>
    <w:pPr>
      <w:tabs>
        <w:tab w:val="left" w:pos="2400"/>
      </w:tabs>
      <w:spacing w:after="240" w:line="240" w:lineRule="exact"/>
      <w:ind w:left="2400" w:hanging="480"/>
    </w:pPr>
    <w:rPr>
      <w:rFonts w:ascii="Verdana" w:eastAsiaTheme="minorHAnsi" w:hAnsi="Verdana" w:cstheme="majorBidi"/>
      <w:color w:val="000000" w:themeColor="text1"/>
      <w:lang w:val="en-GB"/>
    </w:rPr>
  </w:style>
  <w:style w:type="paragraph" w:customStyle="1" w:styleId="Indent5NOspaceafter">
    <w:name w:val="Indent 5 NO space after"/>
    <w:qFormat/>
    <w:rsid w:val="00547E4B"/>
    <w:pPr>
      <w:tabs>
        <w:tab w:val="left" w:pos="2400"/>
      </w:tabs>
      <w:spacing w:line="240" w:lineRule="exact"/>
      <w:ind w:left="2400" w:hanging="480"/>
    </w:pPr>
    <w:rPr>
      <w:rFonts w:ascii="Verdana" w:eastAsiaTheme="minorHAnsi" w:hAnsi="Verdana" w:cstheme="majorBidi"/>
      <w:color w:val="000000" w:themeColor="text1"/>
      <w:lang w:val="en-GB"/>
    </w:rPr>
  </w:style>
  <w:style w:type="paragraph" w:customStyle="1" w:styleId="Indent5semibold">
    <w:name w:val="Indent 5 semibold"/>
    <w:qFormat/>
    <w:rsid w:val="00547E4B"/>
    <w:pPr>
      <w:tabs>
        <w:tab w:val="left" w:pos="2400"/>
      </w:tabs>
      <w:spacing w:after="240" w:line="240" w:lineRule="exact"/>
      <w:ind w:left="2400" w:hanging="480"/>
    </w:pPr>
    <w:rPr>
      <w:rFonts w:ascii="Verdana" w:eastAsiaTheme="minorHAnsi" w:hAnsi="Verdana" w:cstheme="majorBidi"/>
      <w:b/>
      <w:color w:val="7F7F7F" w:themeColor="text1" w:themeTint="80"/>
      <w:lang w:val="en-GB"/>
    </w:rPr>
  </w:style>
  <w:style w:type="paragraph" w:customStyle="1" w:styleId="Indent5semiboldNOspaceafter">
    <w:name w:val="Indent 5 semibold NO space after"/>
    <w:uiPriority w:val="1"/>
    <w:qFormat/>
    <w:rsid w:val="00547E4B"/>
    <w:pPr>
      <w:tabs>
        <w:tab w:val="left" w:pos="2400"/>
      </w:tabs>
      <w:spacing w:line="240" w:lineRule="exact"/>
      <w:ind w:left="2400" w:hanging="480"/>
    </w:pPr>
    <w:rPr>
      <w:rFonts w:ascii="Verdana" w:eastAsiaTheme="minorHAnsi" w:hAnsi="Verdana" w:cstheme="majorBidi"/>
      <w:b/>
      <w:color w:val="7F7F7F" w:themeColor="text1" w:themeTint="80"/>
      <w:lang w:val="en-GB"/>
    </w:rPr>
  </w:style>
  <w:style w:type="paragraph" w:customStyle="1" w:styleId="Tableheadertrackingminus10">
    <w:name w:val="Table header tracking minus 10"/>
    <w:basedOn w:val="Tableheader"/>
    <w:uiPriority w:val="1"/>
    <w:qFormat/>
    <w:rsid w:val="00547E4B"/>
  </w:style>
  <w:style w:type="paragraph" w:customStyle="1" w:styleId="CodesbodytextExt">
    <w:name w:val="Codes_body_text_Ext"/>
    <w:basedOn w:val="Normal"/>
    <w:uiPriority w:val="1"/>
    <w:qFormat/>
    <w:rsid w:val="00547E4B"/>
    <w:pPr>
      <w:tabs>
        <w:tab w:val="clear" w:pos="1134"/>
        <w:tab w:val="left" w:pos="1800"/>
      </w:tabs>
      <w:spacing w:after="240" w:line="240" w:lineRule="exact"/>
      <w:jc w:val="left"/>
    </w:pPr>
    <w:rPr>
      <w:rFonts w:eastAsiaTheme="minorEastAsia" w:cstheme="majorBidi"/>
      <w:color w:val="000000" w:themeColor="text1"/>
      <w:lang w:val="en-CA" w:eastAsia="zh-TW"/>
    </w:rPr>
  </w:style>
  <w:style w:type="paragraph" w:customStyle="1" w:styleId="CodesheadingExt">
    <w:name w:val="Codes_heading_Ext"/>
    <w:basedOn w:val="Normal"/>
    <w:uiPriority w:val="1"/>
    <w:qFormat/>
    <w:rsid w:val="00547E4B"/>
    <w:pPr>
      <w:tabs>
        <w:tab w:val="clear" w:pos="1134"/>
      </w:tabs>
      <w:spacing w:before="240" w:after="240" w:line="240" w:lineRule="exact"/>
      <w:ind w:left="1800" w:hanging="1800"/>
      <w:jc w:val="left"/>
    </w:pPr>
    <w:rPr>
      <w:rFonts w:eastAsiaTheme="minorEastAsia" w:cstheme="majorBidi"/>
      <w:b/>
      <w:bCs/>
      <w:color w:val="000000" w:themeColor="text1"/>
      <w:lang w:val="en-CA" w:eastAsia="zh-TW"/>
    </w:rPr>
  </w:style>
  <w:style w:type="paragraph" w:customStyle="1" w:styleId="Style1">
    <w:name w:val="Style1"/>
    <w:basedOn w:val="Normal"/>
    <w:uiPriority w:val="1"/>
    <w:qFormat/>
    <w:rsid w:val="00547E4B"/>
    <w:pPr>
      <w:tabs>
        <w:tab w:val="clear" w:pos="1134"/>
      </w:tabs>
      <w:spacing w:line="276" w:lineRule="auto"/>
      <w:jc w:val="left"/>
    </w:pPr>
    <w:rPr>
      <w:rFonts w:eastAsiaTheme="minorEastAsia" w:cstheme="majorBidi"/>
      <w:b/>
      <w:bCs/>
      <w:color w:val="000000" w:themeColor="text1"/>
      <w:lang w:val="en-CA" w:eastAsia="zh-TW"/>
    </w:rPr>
  </w:style>
  <w:style w:type="paragraph" w:customStyle="1" w:styleId="CodesheadingFM">
    <w:name w:val="Codes_heading_FM"/>
    <w:basedOn w:val="Normal"/>
    <w:uiPriority w:val="1"/>
    <w:qFormat/>
    <w:rsid w:val="00547E4B"/>
    <w:pPr>
      <w:tabs>
        <w:tab w:val="clear" w:pos="1134"/>
        <w:tab w:val="left" w:pos="2040"/>
      </w:tabs>
      <w:spacing w:line="276" w:lineRule="auto"/>
      <w:ind w:left="3840" w:hanging="3840"/>
      <w:jc w:val="left"/>
    </w:pPr>
    <w:rPr>
      <w:rFonts w:eastAsiaTheme="minorEastAsia" w:cstheme="majorBidi"/>
      <w:b/>
      <w:bCs/>
      <w:color w:val="000000" w:themeColor="text1"/>
      <w:lang w:val="en-CA" w:eastAsia="zh-TW"/>
    </w:rPr>
  </w:style>
  <w:style w:type="paragraph" w:customStyle="1" w:styleId="Indent5semibold0">
    <w:name w:val="Indent 5 semi bold"/>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Indent5semiboldNOspaceafter0">
    <w:name w:val="Indent 5 semi bold NO space after"/>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ToCCODES4">
    <w:name w:val="ToC CODES 4"/>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character" w:customStyle="1" w:styleId="Coveritalic">
    <w:name w:val="Cover_italic"/>
    <w:rsid w:val="00547E4B"/>
  </w:style>
  <w:style w:type="character" w:customStyle="1" w:styleId="Trackingminus10">
    <w:name w:val="Tracking minus 10"/>
    <w:rsid w:val="00547E4B"/>
  </w:style>
  <w:style w:type="character" w:customStyle="1" w:styleId="TPSHyperlink">
    <w:name w:val="TPS Hyperlink"/>
    <w:uiPriority w:val="1"/>
    <w:rsid w:val="00547E4B"/>
    <w:rPr>
      <w:rFonts w:ascii="Arial" w:eastAsia="Times New Roman" w:hAnsi="Arial" w:cs="Times New Roman"/>
      <w:b/>
      <w:noProof w:val="0"/>
      <w:color w:val="2F275B"/>
      <w:sz w:val="18"/>
      <w:szCs w:val="24"/>
      <w:shd w:val="clear" w:color="auto" w:fill="E1ADB4"/>
      <w:lang w:val="en-AU" w:eastAsia="en-US"/>
    </w:rPr>
  </w:style>
  <w:style w:type="character" w:customStyle="1" w:styleId="CommentSubjectChar">
    <w:name w:val="Comment Subject Char"/>
    <w:basedOn w:val="CommentTextChar"/>
    <w:link w:val="CommentSubject"/>
    <w:uiPriority w:val="99"/>
    <w:semiHidden/>
    <w:rsid w:val="00547E4B"/>
    <w:rPr>
      <w:rFonts w:ascii="Verdana" w:eastAsia="Arial" w:hAnsi="Verdana" w:cs="Arial"/>
      <w:b/>
      <w:bCs/>
      <w:lang w:val="en-GB" w:eastAsia="en-US"/>
    </w:rPr>
  </w:style>
  <w:style w:type="character" w:customStyle="1" w:styleId="Highlightblue">
    <w:name w:val="Highlight blue"/>
    <w:uiPriority w:val="1"/>
    <w:qFormat/>
    <w:rsid w:val="00547E4B"/>
    <w:rPr>
      <w:color w:val="auto"/>
      <w:u w:val="none"/>
      <w:bdr w:val="none" w:sz="0" w:space="0" w:color="auto"/>
      <w:shd w:val="clear" w:color="auto" w:fill="B8CCE4" w:themeFill="accent1" w:themeFillTint="66"/>
    </w:rPr>
  </w:style>
  <w:style w:type="character" w:customStyle="1" w:styleId="Highlightyellow">
    <w:name w:val="Highlight yellow"/>
    <w:qFormat/>
    <w:rsid w:val="00547E4B"/>
    <w:rPr>
      <w:color w:val="auto"/>
      <w:u w:val="none"/>
      <w:bdr w:val="none" w:sz="0" w:space="0" w:color="auto"/>
      <w:shd w:val="solid" w:color="FFFF00" w:fill="FFFF00"/>
    </w:rPr>
  </w:style>
  <w:style w:type="paragraph" w:customStyle="1" w:styleId="Courier">
    <w:name w:val="Courier"/>
    <w:basedOn w:val="Bodytext1"/>
    <w:uiPriority w:val="1"/>
    <w:qFormat/>
    <w:rsid w:val="00547E4B"/>
    <w:pPr>
      <w:spacing w:after="220"/>
    </w:pPr>
    <w:rPr>
      <w:rFonts w:ascii="Courier" w:hAnsi="Courier"/>
      <w:sz w:val="18"/>
      <w:szCs w:val="18"/>
    </w:rPr>
  </w:style>
  <w:style w:type="paragraph" w:customStyle="1" w:styleId="CourierNOspaceafter">
    <w:name w:val="Courier NO space after"/>
    <w:basedOn w:val="Courierindent"/>
    <w:uiPriority w:val="1"/>
    <w:qFormat/>
    <w:rsid w:val="00547E4B"/>
    <w:pPr>
      <w:spacing w:after="0"/>
    </w:pPr>
  </w:style>
  <w:style w:type="paragraph" w:customStyle="1" w:styleId="Courierindent">
    <w:name w:val="Courier indent"/>
    <w:basedOn w:val="Bodytext1"/>
    <w:uiPriority w:val="1"/>
    <w:qFormat/>
    <w:rsid w:val="00547E4B"/>
    <w:pPr>
      <w:spacing w:after="220"/>
      <w:ind w:left="1120" w:hanging="1120"/>
    </w:pPr>
    <w:rPr>
      <w:rFonts w:ascii="Courier" w:hAnsi="Courier"/>
      <w:sz w:val="18"/>
      <w:szCs w:val="18"/>
    </w:rPr>
  </w:style>
  <w:style w:type="character" w:customStyle="1" w:styleId="Highlightviolet">
    <w:name w:val="Highlight violet"/>
    <w:basedOn w:val="DefaultParagraphFont"/>
    <w:qFormat/>
    <w:rsid w:val="00547E4B"/>
    <w:rPr>
      <w:bdr w:val="none" w:sz="0" w:space="0" w:color="auto"/>
      <w:shd w:val="solid" w:color="CCC0D9" w:themeColor="accent4" w:themeTint="66" w:fill="CCC0D9" w:themeFill="accent4" w:themeFillTint="66"/>
    </w:rPr>
  </w:style>
  <w:style w:type="paragraph" w:customStyle="1" w:styleId="Courierboxblueborder">
    <w:name w:val="Courier box blue border"/>
    <w:basedOn w:val="Bodytext1"/>
    <w:uiPriority w:val="1"/>
    <w:qFormat/>
    <w:rsid w:val="00547E4B"/>
    <w:rPr>
      <w:rFonts w:ascii="Courier" w:hAnsi="Courier"/>
      <w:sz w:val="18"/>
      <w:szCs w:val="18"/>
    </w:rPr>
  </w:style>
  <w:style w:type="paragraph" w:customStyle="1" w:styleId="Couriershaded">
    <w:name w:val="Courier shaded"/>
    <w:next w:val="Bodytext1"/>
    <w:qFormat/>
    <w:rsid w:val="00547E4B"/>
    <w:pPr>
      <w:shd w:val="clear" w:color="auto" w:fill="D9D9D9" w:themeFill="background1" w:themeFillShade="D9"/>
      <w:spacing w:after="200" w:line="276" w:lineRule="auto"/>
    </w:pPr>
    <w:rPr>
      <w:rFonts w:ascii="Courier" w:eastAsiaTheme="minorHAnsi" w:hAnsi="Courier" w:cstheme="majorBidi"/>
      <w:sz w:val="18"/>
      <w:szCs w:val="22"/>
      <w:lang w:val="en-GB"/>
    </w:rPr>
  </w:style>
  <w:style w:type="paragraph" w:customStyle="1" w:styleId="CourireNOspace">
    <w:name w:val="Courire NO space"/>
    <w:basedOn w:val="Courierindent"/>
    <w:uiPriority w:val="1"/>
    <w:qFormat/>
    <w:rsid w:val="00547E4B"/>
    <w:pPr>
      <w:spacing w:after="0"/>
    </w:pPr>
  </w:style>
  <w:style w:type="paragraph" w:customStyle="1" w:styleId="WW-BodyText2">
    <w:name w:val="WW-Body Text 2"/>
    <w:basedOn w:val="Normal"/>
    <w:uiPriority w:val="1"/>
    <w:rsid w:val="00547E4B"/>
    <w:pPr>
      <w:widowControl w:val="0"/>
      <w:tabs>
        <w:tab w:val="clear" w:pos="1134"/>
      </w:tabs>
      <w:spacing w:after="120" w:line="276" w:lineRule="auto"/>
    </w:pPr>
    <w:rPr>
      <w:rFonts w:ascii="Arial" w:eastAsia="Times New Roman" w:hAnsi="Arial" w:cs="Times New Roman"/>
      <w:sz w:val="22"/>
      <w:szCs w:val="22"/>
      <w:lang w:val="en-CA" w:eastAsia="ar-SA"/>
    </w:rPr>
  </w:style>
  <w:style w:type="paragraph" w:customStyle="1" w:styleId="CourierindentNOspaceafter">
    <w:name w:val="Courier indent NO space after"/>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character" w:customStyle="1" w:styleId="Couriercharacter">
    <w:name w:val="Courier character"/>
    <w:rsid w:val="00547E4B"/>
  </w:style>
  <w:style w:type="paragraph" w:customStyle="1" w:styleId="Heading2NOindent">
    <w:name w:val="Heading_2 NO indent"/>
    <w:basedOn w:val="Normal"/>
    <w:uiPriority w:val="1"/>
    <w:rsid w:val="00547E4B"/>
    <w:pPr>
      <w:tabs>
        <w:tab w:val="clear" w:pos="1134"/>
      </w:tabs>
      <w:spacing w:after="200" w:line="276" w:lineRule="auto"/>
      <w:jc w:val="left"/>
    </w:pPr>
    <w:rPr>
      <w:rFonts w:eastAsiaTheme="minorEastAsia" w:cstheme="minorBidi"/>
      <w:lang w:val="en-CA" w:eastAsia="zh-CN"/>
    </w:rPr>
  </w:style>
  <w:style w:type="table" w:customStyle="1" w:styleId="TableGrid1">
    <w:name w:val="Table Grid1"/>
    <w:basedOn w:val="TableNormal"/>
    <w:next w:val="TableGrid"/>
    <w:uiPriority w:val="1"/>
    <w:rsid w:val="00547E4B"/>
    <w:rPr>
      <w:rFonts w:ascii="Verdana" w:eastAsia="Calibri" w:hAnsi="Verdana"/>
      <w:color w:val="00000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47E4B"/>
    <w:pPr>
      <w:tabs>
        <w:tab w:val="clear" w:pos="1134"/>
      </w:tabs>
      <w:spacing w:beforeAutospacing="1" w:after="200" w:afterAutospacing="1" w:line="276" w:lineRule="auto"/>
      <w:jc w:val="left"/>
    </w:pPr>
    <w:rPr>
      <w:rFonts w:ascii="Times New Roman" w:eastAsia="Times New Roman" w:hAnsi="Times New Roman" w:cs="Times New Roman"/>
      <w:sz w:val="24"/>
      <w:szCs w:val="24"/>
      <w:lang w:val="pt-PT" w:eastAsia="pt-PT"/>
    </w:rPr>
  </w:style>
  <w:style w:type="paragraph" w:styleId="Quote">
    <w:name w:val="Quote"/>
    <w:basedOn w:val="Normal"/>
    <w:next w:val="Normal"/>
    <w:link w:val="QuoteChar"/>
    <w:uiPriority w:val="29"/>
    <w:qFormat/>
    <w:rsid w:val="00547E4B"/>
    <w:pPr>
      <w:tabs>
        <w:tab w:val="clear" w:pos="1134"/>
      </w:tabs>
      <w:spacing w:before="200" w:after="200" w:line="276" w:lineRule="auto"/>
      <w:ind w:left="864" w:right="864"/>
      <w:jc w:val="center"/>
    </w:pPr>
    <w:rPr>
      <w:rFonts w:eastAsiaTheme="minorEastAsia" w:cstheme="minorBidi"/>
      <w:i/>
      <w:iCs/>
      <w:color w:val="404040" w:themeColor="text1" w:themeTint="BF"/>
      <w:lang w:val="en-CA" w:eastAsia="zh-CN"/>
    </w:rPr>
  </w:style>
  <w:style w:type="character" w:customStyle="1" w:styleId="QuoteChar">
    <w:name w:val="Quote Char"/>
    <w:basedOn w:val="DefaultParagraphFont"/>
    <w:link w:val="Quote"/>
    <w:uiPriority w:val="29"/>
    <w:rsid w:val="00547E4B"/>
    <w:rPr>
      <w:rFonts w:ascii="Verdana" w:eastAsiaTheme="minorEastAsia" w:hAnsi="Verdana" w:cstheme="minorBidi"/>
      <w:i/>
      <w:iCs/>
      <w:color w:val="404040" w:themeColor="text1" w:themeTint="BF"/>
      <w:lang w:val="en-CA" w:eastAsia="zh-CN"/>
    </w:rPr>
  </w:style>
  <w:style w:type="paragraph" w:styleId="IntenseQuote">
    <w:name w:val="Intense Quote"/>
    <w:basedOn w:val="Normal"/>
    <w:next w:val="Normal"/>
    <w:link w:val="IntenseQuoteChar"/>
    <w:uiPriority w:val="30"/>
    <w:qFormat/>
    <w:rsid w:val="00547E4B"/>
    <w:pPr>
      <w:tabs>
        <w:tab w:val="clear" w:pos="1134"/>
      </w:tabs>
      <w:spacing w:before="360" w:after="360" w:line="276" w:lineRule="auto"/>
      <w:ind w:left="864" w:right="864"/>
      <w:jc w:val="center"/>
    </w:pPr>
    <w:rPr>
      <w:rFonts w:eastAsiaTheme="minorEastAsia" w:cstheme="minorBidi"/>
      <w:i/>
      <w:iCs/>
      <w:color w:val="4F81BD" w:themeColor="accent1"/>
      <w:lang w:val="en-CA" w:eastAsia="zh-CN"/>
    </w:rPr>
  </w:style>
  <w:style w:type="character" w:customStyle="1" w:styleId="IntenseQuoteChar">
    <w:name w:val="Intense Quote Char"/>
    <w:basedOn w:val="DefaultParagraphFont"/>
    <w:link w:val="IntenseQuote"/>
    <w:uiPriority w:val="30"/>
    <w:rsid w:val="00547E4B"/>
    <w:rPr>
      <w:rFonts w:ascii="Verdana" w:eastAsiaTheme="minorEastAsia" w:hAnsi="Verdana" w:cstheme="minorBidi"/>
      <w:i/>
      <w:iCs/>
      <w:color w:val="4F81BD" w:themeColor="accent1"/>
      <w:lang w:val="en-CA" w:eastAsia="zh-CN"/>
    </w:rPr>
  </w:style>
  <w:style w:type="character" w:customStyle="1" w:styleId="Heading5Char">
    <w:name w:val="Heading 5 Char"/>
    <w:basedOn w:val="DefaultParagraphFont"/>
    <w:link w:val="Heading5"/>
    <w:uiPriority w:val="9"/>
    <w:rsid w:val="00547E4B"/>
    <w:rPr>
      <w:rFonts w:ascii="Verdana" w:eastAsia="Arial" w:hAnsi="Verdana" w:cs="Arial"/>
      <w:bCs/>
      <w:i/>
      <w:iCs/>
      <w:szCs w:val="22"/>
      <w:lang w:val="en-GB"/>
    </w:rPr>
  </w:style>
  <w:style w:type="character" w:customStyle="1" w:styleId="Heading6Char">
    <w:name w:val="Heading 6 Char"/>
    <w:basedOn w:val="DefaultParagraphFont"/>
    <w:link w:val="Heading6"/>
    <w:uiPriority w:val="9"/>
    <w:rsid w:val="00547E4B"/>
    <w:rPr>
      <w:rFonts w:ascii="Verdana" w:eastAsia="Arial" w:hAnsi="Verdana" w:cs="Arial"/>
      <w:b/>
      <w:snapToGrid w:val="0"/>
      <w:spacing w:val="-2"/>
      <w:lang w:val="en-GB"/>
    </w:rPr>
  </w:style>
  <w:style w:type="character" w:customStyle="1" w:styleId="Heading7Char">
    <w:name w:val="Heading 7 Char"/>
    <w:basedOn w:val="DefaultParagraphFont"/>
    <w:link w:val="Heading7"/>
    <w:uiPriority w:val="9"/>
    <w:rsid w:val="00547E4B"/>
    <w:rPr>
      <w:rFonts w:ascii="Verdana" w:eastAsia="Arial" w:hAnsi="Verdana" w:cs="Arial"/>
      <w:b/>
      <w:bCs/>
      <w:color w:val="4436AA"/>
      <w:spacing w:val="-2"/>
      <w:sz w:val="28"/>
      <w:szCs w:val="22"/>
      <w:lang w:val="en-GB"/>
    </w:rPr>
  </w:style>
  <w:style w:type="character" w:customStyle="1" w:styleId="Heading8Char">
    <w:name w:val="Heading 8 Char"/>
    <w:basedOn w:val="DefaultParagraphFont"/>
    <w:link w:val="Heading8"/>
    <w:uiPriority w:val="9"/>
    <w:rsid w:val="00547E4B"/>
    <w:rPr>
      <w:rFonts w:eastAsia="Arial"/>
      <w:i/>
      <w:iCs/>
      <w:sz w:val="24"/>
      <w:szCs w:val="24"/>
      <w:lang w:val="en-GB" w:eastAsia="en-US"/>
    </w:rPr>
  </w:style>
  <w:style w:type="character" w:customStyle="1" w:styleId="Heading9Char">
    <w:name w:val="Heading 9 Char"/>
    <w:basedOn w:val="DefaultParagraphFont"/>
    <w:link w:val="Heading9"/>
    <w:uiPriority w:val="9"/>
    <w:rsid w:val="00547E4B"/>
    <w:rPr>
      <w:rFonts w:ascii="Verdana" w:eastAsia="Arial" w:hAnsi="Verdana" w:cs="Arial"/>
      <w:szCs w:val="22"/>
      <w:lang w:val="en-GB" w:eastAsia="en-US"/>
    </w:rPr>
  </w:style>
  <w:style w:type="paragraph" w:styleId="TOC5">
    <w:name w:val="toc 5"/>
    <w:basedOn w:val="Normal"/>
    <w:next w:val="Normal"/>
    <w:uiPriority w:val="39"/>
    <w:unhideWhenUsed/>
    <w:rsid w:val="00547E4B"/>
    <w:pPr>
      <w:tabs>
        <w:tab w:val="clear" w:pos="1134"/>
      </w:tabs>
      <w:spacing w:line="276" w:lineRule="auto"/>
      <w:ind w:left="800"/>
      <w:jc w:val="left"/>
    </w:pPr>
    <w:rPr>
      <w:rFonts w:eastAsiaTheme="minorEastAsia" w:cstheme="minorBidi"/>
      <w:lang w:val="en-CA" w:eastAsia="zh-CN"/>
    </w:rPr>
  </w:style>
  <w:style w:type="paragraph" w:styleId="TOC6">
    <w:name w:val="toc 6"/>
    <w:basedOn w:val="Normal"/>
    <w:next w:val="Normal"/>
    <w:uiPriority w:val="39"/>
    <w:unhideWhenUsed/>
    <w:rsid w:val="00547E4B"/>
    <w:pPr>
      <w:tabs>
        <w:tab w:val="clear" w:pos="1134"/>
      </w:tabs>
      <w:spacing w:line="276" w:lineRule="auto"/>
      <w:ind w:left="1000"/>
      <w:jc w:val="left"/>
    </w:pPr>
    <w:rPr>
      <w:rFonts w:eastAsiaTheme="minorEastAsia" w:cstheme="minorBidi"/>
      <w:lang w:val="en-CA" w:eastAsia="zh-CN"/>
    </w:rPr>
  </w:style>
  <w:style w:type="paragraph" w:styleId="TOC7">
    <w:name w:val="toc 7"/>
    <w:basedOn w:val="Normal"/>
    <w:next w:val="Normal"/>
    <w:uiPriority w:val="39"/>
    <w:unhideWhenUsed/>
    <w:rsid w:val="00547E4B"/>
    <w:pPr>
      <w:tabs>
        <w:tab w:val="clear" w:pos="1134"/>
      </w:tabs>
      <w:spacing w:line="276" w:lineRule="auto"/>
      <w:ind w:left="1200"/>
      <w:jc w:val="left"/>
    </w:pPr>
    <w:rPr>
      <w:rFonts w:eastAsiaTheme="minorEastAsia" w:cstheme="minorBidi"/>
      <w:lang w:val="en-CA" w:eastAsia="zh-CN"/>
    </w:rPr>
  </w:style>
  <w:style w:type="paragraph" w:styleId="TOC8">
    <w:name w:val="toc 8"/>
    <w:basedOn w:val="Normal"/>
    <w:next w:val="Normal"/>
    <w:uiPriority w:val="39"/>
    <w:unhideWhenUsed/>
    <w:rsid w:val="00547E4B"/>
    <w:pPr>
      <w:tabs>
        <w:tab w:val="clear" w:pos="1134"/>
      </w:tabs>
      <w:spacing w:line="276" w:lineRule="auto"/>
      <w:ind w:left="1400"/>
      <w:jc w:val="left"/>
    </w:pPr>
    <w:rPr>
      <w:rFonts w:eastAsiaTheme="minorEastAsia" w:cstheme="minorBidi"/>
      <w:lang w:val="en-CA" w:eastAsia="zh-CN"/>
    </w:rPr>
  </w:style>
  <w:style w:type="paragraph" w:styleId="TOC9">
    <w:name w:val="toc 9"/>
    <w:basedOn w:val="Normal"/>
    <w:next w:val="Normal"/>
    <w:uiPriority w:val="39"/>
    <w:unhideWhenUsed/>
    <w:rsid w:val="00547E4B"/>
    <w:pPr>
      <w:tabs>
        <w:tab w:val="clear" w:pos="1134"/>
      </w:tabs>
      <w:spacing w:line="276" w:lineRule="auto"/>
      <w:ind w:left="1600"/>
      <w:jc w:val="left"/>
    </w:pPr>
    <w:rPr>
      <w:rFonts w:eastAsiaTheme="minorEastAsia" w:cstheme="minorBidi"/>
      <w:lang w:val="en-CA" w:eastAsia="zh-CN"/>
    </w:rPr>
  </w:style>
  <w:style w:type="paragraph" w:styleId="EndnoteText">
    <w:name w:val="endnote text"/>
    <w:basedOn w:val="Normal"/>
    <w:link w:val="EndnoteTextChar"/>
    <w:uiPriority w:val="99"/>
    <w:unhideWhenUsed/>
    <w:rsid w:val="00547E4B"/>
    <w:pPr>
      <w:tabs>
        <w:tab w:val="clear" w:pos="1134"/>
      </w:tabs>
      <w:spacing w:line="276" w:lineRule="auto"/>
      <w:jc w:val="left"/>
    </w:pPr>
    <w:rPr>
      <w:rFonts w:eastAsiaTheme="minorEastAsia" w:cstheme="minorBidi"/>
      <w:lang w:val="en-CA" w:eastAsia="zh-CN"/>
    </w:rPr>
  </w:style>
  <w:style w:type="character" w:customStyle="1" w:styleId="EndnoteTextChar">
    <w:name w:val="Endnote Text Char"/>
    <w:basedOn w:val="DefaultParagraphFont"/>
    <w:link w:val="EndnoteText"/>
    <w:uiPriority w:val="99"/>
    <w:rsid w:val="00547E4B"/>
    <w:rPr>
      <w:rFonts w:ascii="Verdana" w:eastAsiaTheme="minorEastAsia" w:hAnsi="Verdana" w:cstheme="minorBidi"/>
      <w:lang w:val="en-CA" w:eastAsia="zh-CN"/>
    </w:rPr>
  </w:style>
  <w:style w:type="paragraph" w:customStyle="1" w:styleId="heading100">
    <w:name w:val="heading 10"/>
    <w:qFormat/>
    <w:rsid w:val="00547E4B"/>
    <w:pPr>
      <w:keepNext/>
      <w:spacing w:before="480" w:after="200" w:line="276" w:lineRule="auto"/>
      <w:ind w:left="1123" w:hanging="1123"/>
      <w:outlineLvl w:val="3"/>
    </w:pPr>
    <w:rPr>
      <w:rFonts w:ascii="Verdana" w:eastAsiaTheme="minorHAnsi" w:hAnsi="Verdana" w:cstheme="majorBidi"/>
      <w:b/>
      <w:bCs/>
      <w:color w:val="000000" w:themeColor="text1"/>
      <w:lang w:val="en-GB"/>
    </w:rPr>
  </w:style>
  <w:style w:type="paragraph" w:customStyle="1" w:styleId="heading200">
    <w:name w:val="heading 20"/>
    <w:qFormat/>
    <w:rsid w:val="00547E4B"/>
    <w:pPr>
      <w:keepNext/>
      <w:tabs>
        <w:tab w:val="left" w:pos="1120"/>
      </w:tabs>
      <w:spacing w:before="240" w:after="240" w:line="240" w:lineRule="exact"/>
      <w:ind w:left="1123" w:hanging="1123"/>
      <w:outlineLvl w:val="4"/>
    </w:pPr>
    <w:rPr>
      <w:rFonts w:ascii="Verdana" w:eastAsia="Arial" w:hAnsi="Verdana" w:cs="Arial"/>
      <w:b/>
      <w:bCs/>
      <w:color w:val="000000" w:themeColor="text1"/>
      <w:lang w:val="en-GB" w:eastAsia="en-US"/>
    </w:rPr>
  </w:style>
  <w:style w:type="character" w:customStyle="1" w:styleId="contenu">
    <w:name w:val="contenu"/>
    <w:basedOn w:val="DefaultParagraphFont"/>
    <w:rsid w:val="00547E4B"/>
  </w:style>
  <w:style w:type="paragraph" w:styleId="TOCHeading">
    <w:name w:val="TOC Heading"/>
    <w:basedOn w:val="Heading1"/>
    <w:next w:val="Normal"/>
    <w:uiPriority w:val="39"/>
    <w:unhideWhenUsed/>
    <w:qFormat/>
    <w:rsid w:val="00547E4B"/>
    <w:pPr>
      <w:keepLines w:val="0"/>
      <w:spacing w:before="240" w:after="0" w:line="276" w:lineRule="auto"/>
      <w:jc w:val="left"/>
    </w:pPr>
    <w:rPr>
      <w:rFonts w:asciiTheme="majorHAnsi" w:eastAsiaTheme="majorEastAsia" w:hAnsiTheme="majorHAnsi" w:cstheme="majorBidi"/>
      <w:b w:val="0"/>
      <w:bCs w:val="0"/>
      <w:color w:val="365F91" w:themeColor="accent1" w:themeShade="BF"/>
      <w:kern w:val="0"/>
      <w:sz w:val="32"/>
      <w:szCs w:val="32"/>
      <w:lang w:val="en-US" w:eastAsia="en-US"/>
    </w:rPr>
  </w:style>
  <w:style w:type="paragraph" w:customStyle="1" w:styleId="paragraph">
    <w:name w:val="paragraph"/>
    <w:basedOn w:val="Normal"/>
    <w:uiPriority w:val="1"/>
    <w:rsid w:val="00547E4B"/>
    <w:pPr>
      <w:tabs>
        <w:tab w:val="clear" w:pos="1134"/>
      </w:tabs>
      <w:spacing w:beforeAutospacing="1" w:after="200" w:afterAutospacing="1" w:line="276" w:lineRule="auto"/>
      <w:jc w:val="left"/>
    </w:pPr>
    <w:rPr>
      <w:rFonts w:ascii="Times New Roman" w:eastAsia="Times New Roman" w:hAnsi="Times New Roman" w:cs="Times New Roman"/>
      <w:sz w:val="24"/>
      <w:szCs w:val="24"/>
      <w:lang w:val="en-CA" w:eastAsia="ko-KR"/>
    </w:rPr>
  </w:style>
  <w:style w:type="character" w:customStyle="1" w:styleId="tabchar">
    <w:name w:val="tabchar"/>
    <w:basedOn w:val="DefaultParagraphFont"/>
    <w:uiPriority w:val="1"/>
    <w:rsid w:val="00547E4B"/>
  </w:style>
  <w:style w:type="character" w:customStyle="1" w:styleId="markt01gsizou">
    <w:name w:val="markt01gsizou"/>
    <w:basedOn w:val="DefaultParagraphFont"/>
    <w:rsid w:val="00547E4B"/>
  </w:style>
  <w:style w:type="character" w:customStyle="1" w:styleId="mark5d0la258v">
    <w:name w:val="mark5d0la258v"/>
    <w:basedOn w:val="DefaultParagraphFont"/>
    <w:rsid w:val="00547E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676518">
      <w:bodyDiv w:val="1"/>
      <w:marLeft w:val="0"/>
      <w:marRight w:val="0"/>
      <w:marTop w:val="0"/>
      <w:marBottom w:val="0"/>
      <w:divBdr>
        <w:top w:val="none" w:sz="0" w:space="0" w:color="auto"/>
        <w:left w:val="none" w:sz="0" w:space="0" w:color="auto"/>
        <w:bottom w:val="none" w:sz="0" w:space="0" w:color="auto"/>
        <w:right w:val="none" w:sz="0" w:space="0" w:color="auto"/>
      </w:divBdr>
      <w:divsChild>
        <w:div w:id="836918989">
          <w:marLeft w:val="0"/>
          <w:marRight w:val="0"/>
          <w:marTop w:val="0"/>
          <w:marBottom w:val="0"/>
          <w:divBdr>
            <w:top w:val="none" w:sz="0" w:space="0" w:color="auto"/>
            <w:left w:val="none" w:sz="0" w:space="0" w:color="auto"/>
            <w:bottom w:val="none" w:sz="0" w:space="0" w:color="auto"/>
            <w:right w:val="none" w:sz="0" w:space="0" w:color="auto"/>
          </w:divBdr>
        </w:div>
      </w:divsChild>
    </w:div>
    <w:div w:id="490407695">
      <w:bodyDiv w:val="1"/>
      <w:marLeft w:val="0"/>
      <w:marRight w:val="0"/>
      <w:marTop w:val="0"/>
      <w:marBottom w:val="0"/>
      <w:divBdr>
        <w:top w:val="none" w:sz="0" w:space="0" w:color="auto"/>
        <w:left w:val="none" w:sz="0" w:space="0" w:color="auto"/>
        <w:bottom w:val="none" w:sz="0" w:space="0" w:color="auto"/>
        <w:right w:val="none" w:sz="0" w:space="0" w:color="auto"/>
      </w:divBdr>
      <w:divsChild>
        <w:div w:id="1006135054">
          <w:marLeft w:val="0"/>
          <w:marRight w:val="0"/>
          <w:marTop w:val="0"/>
          <w:marBottom w:val="0"/>
          <w:divBdr>
            <w:top w:val="none" w:sz="0" w:space="0" w:color="auto"/>
            <w:left w:val="none" w:sz="0" w:space="0" w:color="auto"/>
            <w:bottom w:val="none" w:sz="0" w:space="0" w:color="auto"/>
            <w:right w:val="none" w:sz="0" w:space="0" w:color="auto"/>
          </w:divBdr>
        </w:div>
      </w:divsChild>
    </w:div>
    <w:div w:id="854228067">
      <w:bodyDiv w:val="1"/>
      <w:marLeft w:val="0"/>
      <w:marRight w:val="0"/>
      <w:marTop w:val="0"/>
      <w:marBottom w:val="0"/>
      <w:divBdr>
        <w:top w:val="none" w:sz="0" w:space="0" w:color="auto"/>
        <w:left w:val="none" w:sz="0" w:space="0" w:color="auto"/>
        <w:bottom w:val="none" w:sz="0" w:space="0" w:color="auto"/>
        <w:right w:val="none" w:sz="0" w:space="0" w:color="auto"/>
      </w:divBdr>
      <w:divsChild>
        <w:div w:id="14968674">
          <w:marLeft w:val="547"/>
          <w:marRight w:val="0"/>
          <w:marTop w:val="0"/>
          <w:marBottom w:val="0"/>
          <w:divBdr>
            <w:top w:val="none" w:sz="0" w:space="0" w:color="auto"/>
            <w:left w:val="none" w:sz="0" w:space="0" w:color="auto"/>
            <w:bottom w:val="none" w:sz="0" w:space="0" w:color="auto"/>
            <w:right w:val="none" w:sz="0" w:space="0" w:color="auto"/>
          </w:divBdr>
        </w:div>
      </w:divsChild>
    </w:div>
    <w:div w:id="924651689">
      <w:bodyDiv w:val="1"/>
      <w:marLeft w:val="0"/>
      <w:marRight w:val="0"/>
      <w:marTop w:val="0"/>
      <w:marBottom w:val="0"/>
      <w:divBdr>
        <w:top w:val="none" w:sz="0" w:space="0" w:color="auto"/>
        <w:left w:val="none" w:sz="0" w:space="0" w:color="auto"/>
        <w:bottom w:val="none" w:sz="0" w:space="0" w:color="auto"/>
        <w:right w:val="none" w:sz="0" w:space="0" w:color="auto"/>
      </w:divBdr>
    </w:div>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 w:id="1919510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ommunity.wmo.int/activity-areas/global-data-processing-and-forecasting-system-gdpfs" TargetMode="External"/><Relationship Id="rId21" Type="http://schemas.openxmlformats.org/officeDocument/2006/relationships/hyperlink" Target="https://library.wmo.int/index.php?lvl=notice_display&amp;id=6834" TargetMode="External"/><Relationship Id="rId42" Type="http://schemas.openxmlformats.org/officeDocument/2006/relationships/hyperlink" Target="https://library.wmo.int/index.php?lvl=notice_display&amp;id=20008" TargetMode="External"/><Relationship Id="rId47" Type="http://schemas.openxmlformats.org/officeDocument/2006/relationships/hyperlink" Target="https://library.wmo.int/doc_num.php?explnum_id=11073" TargetMode="External"/><Relationship Id="rId63" Type="http://schemas.openxmlformats.org/officeDocument/2006/relationships/hyperlink" Target="https://confluence.ecmwf.int/display/WLW/Verification+results" TargetMode="External"/><Relationship Id="rId68" Type="http://schemas.openxmlformats.org/officeDocument/2006/relationships/hyperlink" Target="https://library.wmo.int/doc_num.php?explnum_id=9437" TargetMode="External"/><Relationship Id="rId84" Type="http://schemas.openxmlformats.org/officeDocument/2006/relationships/fontTable" Target="fontTable.xml"/><Relationship Id="rId16" Type="http://schemas.openxmlformats.org/officeDocument/2006/relationships/hyperlink" Target="https://library.wmo.int/doc_num.php?explnum_id=3789" TargetMode="External"/><Relationship Id="rId11" Type="http://schemas.openxmlformats.org/officeDocument/2006/relationships/image" Target="media/image1.jpeg"/><Relationship Id="rId32" Type="http://schemas.openxmlformats.org/officeDocument/2006/relationships/hyperlink" Target="https://wmo.maps.arcgis.com/apps/dashboards/7c3d45e5003a417988bad63e91ad8748" TargetMode="External"/><Relationship Id="rId37" Type="http://schemas.openxmlformats.org/officeDocument/2006/relationships/hyperlink" Target="https://library.wmo.int/doc_num.php?explnum_id=11073" TargetMode="External"/><Relationship Id="rId53" Type="http://schemas.openxmlformats.org/officeDocument/2006/relationships/hyperlink" Target="https://library.wmo.int/doc_num.php?explnum_id=5538" TargetMode="External"/><Relationship Id="rId58" Type="http://schemas.openxmlformats.org/officeDocument/2006/relationships/hyperlink" Target="https://apps.ecmwf.int/wmolcdnv/" TargetMode="External"/><Relationship Id="rId74" Type="http://schemas.openxmlformats.org/officeDocument/2006/relationships/diagramColors" Target="diagrams/colors1.xml"/><Relationship Id="rId79" Type="http://schemas.openxmlformats.org/officeDocument/2006/relationships/diagramColors" Target="diagrams/colors2.xml"/><Relationship Id="rId5" Type="http://schemas.openxmlformats.org/officeDocument/2006/relationships/numbering" Target="numbering.xml"/><Relationship Id="rId19" Type="http://schemas.openxmlformats.org/officeDocument/2006/relationships/hyperlink" Target="https://library.wmo.int/index.php?lvl=notice_display&amp;id=6834" TargetMode="External"/><Relationship Id="rId14" Type="http://schemas.openxmlformats.org/officeDocument/2006/relationships/hyperlink" Target="https://library.wmo.int/doc_num.php?explnum_id=5178" TargetMode="External"/><Relationship Id="rId22" Type="http://schemas.openxmlformats.org/officeDocument/2006/relationships/hyperlink" Target="https://library.wmo.int/index.php?lvl=notice_display&amp;id=12793" TargetMode="External"/><Relationship Id="rId27" Type="http://schemas.openxmlformats.org/officeDocument/2006/relationships/hyperlink" Target="https://wmo.maps.arcgis.com/apps/dashboards/7c3d45e5003a417988bad63e91ad8748" TargetMode="External"/><Relationship Id="rId30" Type="http://schemas.openxmlformats.org/officeDocument/2006/relationships/hyperlink" Target="https://wmo.maps.arcgis.com/apps/dashboards/7c3d45e5003a417988bad63e91ad8748" TargetMode="External"/><Relationship Id="rId35" Type="http://schemas.openxmlformats.org/officeDocument/2006/relationships/hyperlink" Target="https://hadleyserver.metoffice.gov.uk/wmolc/" TargetMode="External"/><Relationship Id="rId43" Type="http://schemas.openxmlformats.org/officeDocument/2006/relationships/hyperlink" Target="https://library.wmo.int/index.php?lvl=notice_display&amp;id=20008" TargetMode="External"/><Relationship Id="rId48" Type="http://schemas.openxmlformats.org/officeDocument/2006/relationships/image" Target="media/image5.emf"/><Relationship Id="rId56" Type="http://schemas.openxmlformats.org/officeDocument/2006/relationships/hyperlink" Target="https://apps.ecmwf.int/wmolcdnv/" TargetMode="External"/><Relationship Id="rId64" Type="http://schemas.openxmlformats.org/officeDocument/2006/relationships/hyperlink" Target="https://wmo.maps.arcgis.com/apps/dashboards/7c3d45e5003a417988bad63e91ad8748" TargetMode="External"/><Relationship Id="rId69" Type="http://schemas.openxmlformats.org/officeDocument/2006/relationships/hyperlink" Target="https://library.wmo.int/doc_num.php?explnum_id=9437" TargetMode="External"/><Relationship Id="rId77" Type="http://schemas.openxmlformats.org/officeDocument/2006/relationships/diagramLayout" Target="diagrams/layout2.xml"/><Relationship Id="rId8" Type="http://schemas.openxmlformats.org/officeDocument/2006/relationships/webSettings" Target="webSettings.xml"/><Relationship Id="rId51" Type="http://schemas.openxmlformats.org/officeDocument/2006/relationships/hyperlink" Target="https://public.wmo.int/en/our-mandate/focus-areas/environment/sand-and-dust-storms" TargetMode="External"/><Relationship Id="rId72" Type="http://schemas.openxmlformats.org/officeDocument/2006/relationships/diagramLayout" Target="diagrams/layout1.xml"/><Relationship Id="rId80" Type="http://schemas.microsoft.com/office/2007/relationships/diagramDrawing" Target="diagrams/drawing2.xm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library.wmo.int/doc_num.php?explnum_id=3789" TargetMode="External"/><Relationship Id="rId17" Type="http://schemas.openxmlformats.org/officeDocument/2006/relationships/hyperlink" Target="https://library.wmo.int/doc_num.php?explnum_id=5178" TargetMode="External"/><Relationship Id="rId25" Type="http://schemas.openxmlformats.org/officeDocument/2006/relationships/hyperlink" Target="https://library.wmo.int/index.php?lvl=notice_display&amp;id=21741" TargetMode="External"/><Relationship Id="rId33" Type="http://schemas.openxmlformats.org/officeDocument/2006/relationships/hyperlink" Target="https://library.wmo.int/index.php?lvl=notice_display&amp;id=21741" TargetMode="External"/><Relationship Id="rId38" Type="http://schemas.openxmlformats.org/officeDocument/2006/relationships/hyperlink" Target="https://wmo.maps.arcgis.com/apps/dashboards/7c3d45e5003a417988bad63e91ad8748" TargetMode="External"/><Relationship Id="rId46" Type="http://schemas.openxmlformats.org/officeDocument/2006/relationships/hyperlink" Target="https://wmo.maps.arcgis.com/apps/dashboards/7c3d45e5003a417988bad63e91ad8748" TargetMode="External"/><Relationship Id="rId59" Type="http://schemas.openxmlformats.org/officeDocument/2006/relationships/hyperlink" Target="http://epsv.kishou.go.jp/EPSv/" TargetMode="External"/><Relationship Id="rId67" Type="http://schemas.openxmlformats.org/officeDocument/2006/relationships/image" Target="media/image6.emf"/><Relationship Id="rId20" Type="http://schemas.openxmlformats.org/officeDocument/2006/relationships/hyperlink" Target="https://library.wmo.int/index.php?lvl=notice_display&amp;id=6834" TargetMode="External"/><Relationship Id="rId41" Type="http://schemas.openxmlformats.org/officeDocument/2006/relationships/hyperlink" Target="https://library.wmo.int/index.php?lvl=notice_display&amp;id=16746" TargetMode="External"/><Relationship Id="rId54" Type="http://schemas.openxmlformats.org/officeDocument/2006/relationships/hyperlink" Target="https://library.wmo.int/doc_num.php?explnum_id=5538" TargetMode="External"/><Relationship Id="rId62" Type="http://schemas.openxmlformats.org/officeDocument/2006/relationships/hyperlink" Target="https://apps.ecmwf.int/wmolcdnv/" TargetMode="External"/><Relationship Id="rId70" Type="http://schemas.openxmlformats.org/officeDocument/2006/relationships/hyperlink" Target="https://library.wmo.int/doc_num.php?explnum_id=3383" TargetMode="External"/><Relationship Id="rId75" Type="http://schemas.microsoft.com/office/2007/relationships/diagramDrawing" Target="diagrams/drawing1.xml"/><Relationship Id="rId83"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meetings.wmo.int/INFCOM-2/_layouts/15/WopiFrame.aspx?sourcedoc=/INFCOM-2/Spanish/2.%20VERSI%C3%93N%20PROVISIONAL%20DEL%20INFORME%20(Documentos%20aprobados)/INFCOM-2-d06-4(3)-RENEWAL-GDPS-GUIDE-WMO-NO-305-approved_es.docx&amp;action=default" TargetMode="External"/><Relationship Id="rId23" Type="http://schemas.openxmlformats.org/officeDocument/2006/relationships/hyperlink" Target="https://library.wmo.int/index.php?lvl=notice_display&amp;id=6834" TargetMode="External"/><Relationship Id="rId28" Type="http://schemas.openxmlformats.org/officeDocument/2006/relationships/hyperlink" Target="https://wmo.maps.arcgis.com/apps/dashboards/7c3d45e5003a417988bad63e91ad8748" TargetMode="External"/><Relationship Id="rId36" Type="http://schemas.openxmlformats.org/officeDocument/2006/relationships/hyperlink" Target="https://hadleyserver.metoffice.gov.uk/wmolc/" TargetMode="External"/><Relationship Id="rId49" Type="http://schemas.openxmlformats.org/officeDocument/2006/relationships/hyperlink" Target="https://community.wmo.int/tropical-cyclone-regional-bodies" TargetMode="External"/><Relationship Id="rId57" Type="http://schemas.openxmlformats.org/officeDocument/2006/relationships/hyperlink" Target="https://wmo.maps.arcgis.com/apps/dashboards/7c3d45e5003a417988bad63e91ad8748" TargetMode="External"/><Relationship Id="rId10" Type="http://schemas.openxmlformats.org/officeDocument/2006/relationships/endnotes" Target="endnotes.xml"/><Relationship Id="rId31" Type="http://schemas.openxmlformats.org/officeDocument/2006/relationships/hyperlink" Target="https://library.wmo.int/index.php?lvl=notice_display&amp;id=21741" TargetMode="External"/><Relationship Id="rId44" Type="http://schemas.openxmlformats.org/officeDocument/2006/relationships/hyperlink" Target="https://library.wmo.int/index.php?lvl=notice_display&amp;id=20008" TargetMode="External"/><Relationship Id="rId52" Type="http://schemas.openxmlformats.org/officeDocument/2006/relationships/hyperlink" Target="https://wmo.maps.arcgis.com/apps/dashboards/7c3d45e5003a417988bad63e91ad8748" TargetMode="External"/><Relationship Id="rId60" Type="http://schemas.openxmlformats.org/officeDocument/2006/relationships/hyperlink" Target="https://wmo.maps.arcgis.com/apps/dashboards/7c3d45e5003a417988bad63e91ad8748" TargetMode="External"/><Relationship Id="rId65" Type="http://schemas.openxmlformats.org/officeDocument/2006/relationships/hyperlink" Target="https://confluence.ecmwf.int/display/WLW/WMO+Lead+Centre+for+Wave+Forecast+Verification+LC-WFV/" TargetMode="External"/><Relationship Id="rId73" Type="http://schemas.openxmlformats.org/officeDocument/2006/relationships/diagramQuickStyle" Target="diagrams/quickStyle1.xml"/><Relationship Id="rId78" Type="http://schemas.openxmlformats.org/officeDocument/2006/relationships/diagramQuickStyle" Target="diagrams/quickStyle2.xml"/><Relationship Id="rId8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library.wmo.int/index.php?lvl=notice_display&amp;id=6834" TargetMode="External"/><Relationship Id="rId18" Type="http://schemas.openxmlformats.org/officeDocument/2006/relationships/hyperlink" Target="https://meetings.wmo.int/INFCOM-2/_layouts/15/WopiFrame.aspx?sourcedoc=/INFCOM-2/Spanish/2.%20VERSI%C3%93N%20PROVISIONAL%20DEL%20INFORME%20(Documentos%20aprobados)/INFCOM-2-d06-4(3)-RENEWAL-GDPS-GUIDE-WMO-NO-305-approved_es.docx&amp;action=default" TargetMode="External"/><Relationship Id="rId39" Type="http://schemas.openxmlformats.org/officeDocument/2006/relationships/hyperlink" Target="https://wmo.maps.arcgis.com/apps/dashboards/7c3d45e5003a417988bad63e91ad8748" TargetMode="External"/><Relationship Id="rId34" Type="http://schemas.openxmlformats.org/officeDocument/2006/relationships/image" Target="media/image3.png"/><Relationship Id="rId50" Type="http://schemas.openxmlformats.org/officeDocument/2006/relationships/hyperlink" Target="https://wmo.maps.arcgis.com/apps/dashboards/7c3d45e5003a417988bad63e91ad8748" TargetMode="External"/><Relationship Id="rId55" Type="http://schemas.openxmlformats.org/officeDocument/2006/relationships/hyperlink" Target="https://wmo.maps.arcgis.com/apps/dashboards/7c3d45e5003a417988bad63e91ad8748" TargetMode="External"/><Relationship Id="rId76" Type="http://schemas.openxmlformats.org/officeDocument/2006/relationships/diagramData" Target="diagrams/data2.xml"/><Relationship Id="rId7" Type="http://schemas.openxmlformats.org/officeDocument/2006/relationships/settings" Target="settings.xml"/><Relationship Id="rId71" Type="http://schemas.openxmlformats.org/officeDocument/2006/relationships/diagramData" Target="diagrams/data1.xml"/><Relationship Id="rId2" Type="http://schemas.openxmlformats.org/officeDocument/2006/relationships/customXml" Target="../customXml/item2.xml"/><Relationship Id="rId29" Type="http://schemas.openxmlformats.org/officeDocument/2006/relationships/hyperlink" Target="https://wmo.maps.arcgis.com/apps/dashboards/7c3d45e5003a417988bad63e91ad8748" TargetMode="External"/><Relationship Id="rId24" Type="http://schemas.openxmlformats.org/officeDocument/2006/relationships/image" Target="media/image2.emf"/><Relationship Id="rId40" Type="http://schemas.openxmlformats.org/officeDocument/2006/relationships/hyperlink" Target="https://wmo.maps.arcgis.com/apps/dashboards/7c3d45e5003a417988bad63e91ad8748" TargetMode="External"/><Relationship Id="rId45" Type="http://schemas.openxmlformats.org/officeDocument/2006/relationships/image" Target="media/image4.jpg"/><Relationship Id="rId66" Type="http://schemas.openxmlformats.org/officeDocument/2006/relationships/hyperlink" Target="https://wmo.maps.arcgis.com/apps/dashboards/7c3d45e5003a417988bad63e91ad8748" TargetMode="External"/><Relationship Id="rId61" Type="http://schemas.openxmlformats.org/officeDocument/2006/relationships/hyperlink" Target="http://epsv.kishou.go.jp/EPSv/" TargetMode="External"/><Relationship Id="rId8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21D5D0E-E13F-C449-B257-C28DEB42D740}" type="doc">
      <dgm:prSet loTypeId="urn:microsoft.com/office/officeart/2005/8/layout/chevron2" loCatId="" qsTypeId="urn:microsoft.com/office/officeart/2005/8/quickstyle/simple1" qsCatId="simple" csTypeId="urn:microsoft.com/office/officeart/2005/8/colors/accent1_2" csCatId="accent1" phldr="1"/>
      <dgm:spPr/>
      <dgm:t>
        <a:bodyPr/>
        <a:lstStyle/>
        <a:p>
          <a:endParaRPr lang="pt-PT"/>
        </a:p>
      </dgm:t>
    </dgm:pt>
    <dgm:pt modelId="{5C10EE74-9B57-8646-980D-F2311E7204EF}">
      <dgm:prSet phldrT="[Texto]" custT="1"/>
      <dgm:spPr>
        <a:xfrm rot="5400000">
          <a:off x="-145431" y="152850"/>
          <a:ext cx="969546" cy="678682"/>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buNone/>
          </a:pPr>
          <a:r>
            <a:rPr lang="es-MX" sz="700">
              <a:solidFill>
                <a:sysClr val="window" lastClr="FFFFFF"/>
              </a:solidFill>
              <a:latin typeface="Calibri"/>
              <a:ea typeface="+mn-ea"/>
              <a:cs typeface="+mn-cs"/>
            </a:rPr>
            <a:t>PASO 1: Últimas condiciones meteorológicas</a:t>
          </a:r>
        </a:p>
      </dgm:t>
    </dgm:pt>
    <dgm:pt modelId="{A52CD551-6359-D646-AED8-81666897F7F3}" type="parTrans" cxnId="{AFAECAEB-6B38-2847-9AC6-C027BA0786BB}">
      <dgm:prSet/>
      <dgm:spPr/>
      <dgm:t>
        <a:bodyPr/>
        <a:lstStyle/>
        <a:p>
          <a:endParaRPr lang="pt-PT" sz="700"/>
        </a:p>
      </dgm:t>
    </dgm:pt>
    <dgm:pt modelId="{78BCF3A2-1256-204E-8905-1DC3E50D514E}" type="sibTrans" cxnId="{AFAECAEB-6B38-2847-9AC6-C027BA0786BB}">
      <dgm:prSet/>
      <dgm:spPr/>
      <dgm:t>
        <a:bodyPr/>
        <a:lstStyle/>
        <a:p>
          <a:endParaRPr lang="pt-PT" sz="700"/>
        </a:p>
      </dgm:t>
    </dgm:pt>
    <dgm:pt modelId="{7304C0D8-DEB1-2743-BC89-56C376C235EE}">
      <dgm:prSet phldrT="[Texto]" custT="1"/>
      <dgm:spPr>
        <a:xfrm rot="5400000">
          <a:off x="1993525" y="-1307424"/>
          <a:ext cx="630536" cy="3260222"/>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es-MX" sz="700">
              <a:solidFill>
                <a:sysClr val="windowText" lastClr="000000">
                  <a:hueOff val="0"/>
                  <a:satOff val="0"/>
                  <a:lumOff val="0"/>
                  <a:alphaOff val="0"/>
                </a:sysClr>
              </a:solidFill>
              <a:latin typeface="Calibri"/>
              <a:ea typeface="+mn-ea"/>
              <a:cs typeface="+mn-cs"/>
            </a:rPr>
            <a:t>Examinar las condiciones meteorológicas y las estadísticas de los últimos días, sobre todo las de las últimas 24 horas.</a:t>
          </a:r>
        </a:p>
      </dgm:t>
    </dgm:pt>
    <dgm:pt modelId="{15D0FA5A-E74D-8B43-AB39-0B96C835490B}" type="parTrans" cxnId="{6C4FF31F-407F-3842-BAA1-95851477D857}">
      <dgm:prSet/>
      <dgm:spPr/>
      <dgm:t>
        <a:bodyPr/>
        <a:lstStyle/>
        <a:p>
          <a:endParaRPr lang="pt-PT" sz="700"/>
        </a:p>
      </dgm:t>
    </dgm:pt>
    <dgm:pt modelId="{0FC7FD92-4E66-FF40-B439-36F195E5557D}" type="sibTrans" cxnId="{6C4FF31F-407F-3842-BAA1-95851477D857}">
      <dgm:prSet/>
      <dgm:spPr/>
      <dgm:t>
        <a:bodyPr/>
        <a:lstStyle/>
        <a:p>
          <a:endParaRPr lang="pt-PT" sz="700"/>
        </a:p>
      </dgm:t>
    </dgm:pt>
    <dgm:pt modelId="{DE32F31F-906A-2246-B6B5-737A66C0F17A}">
      <dgm:prSet phldrT="[Texto]" custT="1"/>
      <dgm:spPr>
        <a:xfrm rot="5400000">
          <a:off x="-145431" y="1012517"/>
          <a:ext cx="969546" cy="678682"/>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buNone/>
          </a:pPr>
          <a:r>
            <a:rPr lang="es-MX" sz="700">
              <a:solidFill>
                <a:sysClr val="window" lastClr="FFFFFF"/>
              </a:solidFill>
              <a:latin typeface="Calibri"/>
              <a:ea typeface="+mn-ea"/>
              <a:cs typeface="+mn-cs"/>
            </a:rPr>
            <a:t>PASO 2: Análisis</a:t>
          </a:r>
        </a:p>
      </dgm:t>
    </dgm:pt>
    <dgm:pt modelId="{C7307F79-FB2F-DE4B-AF4F-0A3AA2D9155E}" type="parTrans" cxnId="{E80BD46F-D568-DE48-94D3-013D8BC28F7B}">
      <dgm:prSet/>
      <dgm:spPr/>
      <dgm:t>
        <a:bodyPr/>
        <a:lstStyle/>
        <a:p>
          <a:endParaRPr lang="pt-PT" sz="700"/>
        </a:p>
      </dgm:t>
    </dgm:pt>
    <dgm:pt modelId="{B5B1A7F7-8CBE-C548-B573-A39E9BC3D794}" type="sibTrans" cxnId="{E80BD46F-D568-DE48-94D3-013D8BC28F7B}">
      <dgm:prSet/>
      <dgm:spPr/>
      <dgm:t>
        <a:bodyPr/>
        <a:lstStyle/>
        <a:p>
          <a:endParaRPr lang="pt-PT" sz="700"/>
        </a:p>
      </dgm:t>
    </dgm:pt>
    <dgm:pt modelId="{87E28E83-5011-AB4C-9217-BCB9826EDDD4}">
      <dgm:prSet phldrT="[Texto]" custT="1"/>
      <dgm:spPr>
        <a:xfrm rot="5400000">
          <a:off x="1993691" y="-447923"/>
          <a:ext cx="630204" cy="3260222"/>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es-MX" sz="700">
              <a:solidFill>
                <a:sysClr val="windowText" lastClr="000000">
                  <a:hueOff val="0"/>
                  <a:satOff val="0"/>
                  <a:lumOff val="0"/>
                  <a:alphaOff val="0"/>
                </a:sysClr>
              </a:solidFill>
              <a:latin typeface="Calibri"/>
              <a:ea typeface="+mn-ea"/>
              <a:cs typeface="+mn-cs"/>
            </a:rPr>
            <a:t>Examinar las observaciones en superficie y en altitud, los mapas de análisis (basados en observaciones y en modelos), y las imágenes de satélite, de radar y de detección de rayos, entre otros (lo que haya disponible).</a:t>
          </a:r>
        </a:p>
      </dgm:t>
    </dgm:pt>
    <dgm:pt modelId="{B96FECC9-ADC9-5B43-825F-81D2B400D540}" type="parTrans" cxnId="{71473F6C-052F-8141-9AC6-8D7C849E347D}">
      <dgm:prSet/>
      <dgm:spPr/>
      <dgm:t>
        <a:bodyPr/>
        <a:lstStyle/>
        <a:p>
          <a:endParaRPr lang="pt-PT" sz="700"/>
        </a:p>
      </dgm:t>
    </dgm:pt>
    <dgm:pt modelId="{69674092-4CC7-C94B-B9E0-0059924F754A}" type="sibTrans" cxnId="{71473F6C-052F-8141-9AC6-8D7C849E347D}">
      <dgm:prSet/>
      <dgm:spPr/>
      <dgm:t>
        <a:bodyPr/>
        <a:lstStyle/>
        <a:p>
          <a:endParaRPr lang="pt-PT" sz="700"/>
        </a:p>
      </dgm:t>
    </dgm:pt>
    <dgm:pt modelId="{85E347F5-7DAD-0D44-85BA-4D50C5F92DA7}">
      <dgm:prSet phldrT="[Texto]" custT="1"/>
      <dgm:spPr>
        <a:xfrm rot="5400000">
          <a:off x="-145431" y="1872183"/>
          <a:ext cx="969546" cy="678682"/>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buNone/>
          </a:pPr>
          <a:r>
            <a:rPr lang="es-MX" sz="700">
              <a:solidFill>
                <a:sysClr val="window" lastClr="FFFFFF"/>
              </a:solidFill>
              <a:latin typeface="Calibri"/>
              <a:ea typeface="+mn-ea"/>
              <a:cs typeface="+mn-cs"/>
            </a:rPr>
            <a:t>PASO 3: Predicción actual</a:t>
          </a:r>
        </a:p>
      </dgm:t>
    </dgm:pt>
    <dgm:pt modelId="{529115AA-8EA0-1449-8899-909A235C63BF}" type="parTrans" cxnId="{0E4EF0C3-BCB8-934A-A36C-8FA977A7E089}">
      <dgm:prSet/>
      <dgm:spPr/>
      <dgm:t>
        <a:bodyPr/>
        <a:lstStyle/>
        <a:p>
          <a:endParaRPr lang="pt-PT" sz="700"/>
        </a:p>
      </dgm:t>
    </dgm:pt>
    <dgm:pt modelId="{F33E46A3-36E1-3242-A287-39B0D1E8845C}" type="sibTrans" cxnId="{0E4EF0C3-BCB8-934A-A36C-8FA977A7E089}">
      <dgm:prSet/>
      <dgm:spPr/>
      <dgm:t>
        <a:bodyPr/>
        <a:lstStyle/>
        <a:p>
          <a:endParaRPr lang="pt-PT" sz="700"/>
        </a:p>
      </dgm:t>
    </dgm:pt>
    <dgm:pt modelId="{90180119-A0D1-854F-8F76-F6165F26E6EC}">
      <dgm:prSet phldrT="[Texto]" custT="1"/>
      <dgm:spPr>
        <a:xfrm rot="5400000">
          <a:off x="1993691" y="411743"/>
          <a:ext cx="630204" cy="3260222"/>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es-MX" sz="700">
              <a:solidFill>
                <a:sysClr val="windowText" lastClr="000000">
                  <a:hueOff val="0"/>
                  <a:satOff val="0"/>
                  <a:lumOff val="0"/>
                  <a:alphaOff val="0"/>
                </a:sysClr>
              </a:solidFill>
              <a:latin typeface="Calibri"/>
              <a:ea typeface="+mn-ea"/>
              <a:cs typeface="+mn-cs"/>
            </a:rPr>
            <a:t>Examinar las orientaciones, los textos y los productos existentes (</a:t>
          </a:r>
          <a:r>
            <a:rPr lang="es-MX" sz="700" i="1">
              <a:solidFill>
                <a:sysClr val="windowText" lastClr="000000">
                  <a:hueOff val="0"/>
                  <a:satOff val="0"/>
                  <a:lumOff val="0"/>
                  <a:alphaOff val="0"/>
                </a:sysClr>
              </a:solidFill>
              <a:latin typeface="Calibri"/>
              <a:ea typeface="+mn-ea"/>
              <a:cs typeface="+mn-cs"/>
            </a:rPr>
            <a:t>Nota: esto incluye la predicción nacional actual, y las orientaciones y los productos de predicción facilitados por los CMRE que se ocupan de la predicción inmediata, de la predicción de fenómenos meteorológicos adversos a escala regional y de la predicción de ciclones tropicales</a:t>
          </a:r>
          <a:r>
            <a:rPr lang="es-MX" sz="700">
              <a:solidFill>
                <a:sysClr val="windowText" lastClr="000000">
                  <a:hueOff val="0"/>
                  <a:satOff val="0"/>
                  <a:lumOff val="0"/>
                  <a:alphaOff val="0"/>
                </a:sysClr>
              </a:solidFill>
              <a:latin typeface="Calibri"/>
              <a:ea typeface="+mn-ea"/>
              <a:cs typeface="+mn-cs"/>
            </a:rPr>
            <a:t>). </a:t>
          </a:r>
        </a:p>
      </dgm:t>
    </dgm:pt>
    <dgm:pt modelId="{10276F0B-71E2-5F4F-AA9C-F5314C81EA9C}" type="parTrans" cxnId="{B690163B-F21F-ED4C-B0AA-81EAA64A1995}">
      <dgm:prSet/>
      <dgm:spPr/>
      <dgm:t>
        <a:bodyPr/>
        <a:lstStyle/>
        <a:p>
          <a:endParaRPr lang="pt-PT" sz="700"/>
        </a:p>
      </dgm:t>
    </dgm:pt>
    <dgm:pt modelId="{FFBD6044-B6C3-9E43-82A3-10E6A446936F}" type="sibTrans" cxnId="{B690163B-F21F-ED4C-B0AA-81EAA64A1995}">
      <dgm:prSet/>
      <dgm:spPr/>
      <dgm:t>
        <a:bodyPr/>
        <a:lstStyle/>
        <a:p>
          <a:endParaRPr lang="pt-PT" sz="700"/>
        </a:p>
      </dgm:t>
    </dgm:pt>
    <dgm:pt modelId="{07528A0F-A8BA-A94D-80F6-1F175E226852}">
      <dgm:prSet phldrT="[Texto]" custT="1"/>
      <dgm:spPr>
        <a:xfrm rot="5400000">
          <a:off x="-145431" y="2731850"/>
          <a:ext cx="969546" cy="678682"/>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buNone/>
          </a:pPr>
          <a:r>
            <a:rPr lang="es-MX" sz="700">
              <a:solidFill>
                <a:sysClr val="window" lastClr="FFFFFF"/>
              </a:solidFill>
              <a:latin typeface="Calibri"/>
              <a:ea typeface="+mn-ea"/>
              <a:cs typeface="+mn-cs"/>
            </a:rPr>
            <a:t>PASO 4: Predicción numérica del tiempo determinística</a:t>
          </a:r>
        </a:p>
      </dgm:t>
    </dgm:pt>
    <dgm:pt modelId="{0268C1BC-8CD4-D34D-B725-40A9C1218F5D}" type="parTrans" cxnId="{162683EC-BCE1-ED49-AD0B-33E3CF691738}">
      <dgm:prSet/>
      <dgm:spPr/>
      <dgm:t>
        <a:bodyPr/>
        <a:lstStyle/>
        <a:p>
          <a:endParaRPr lang="pt-PT" sz="700"/>
        </a:p>
      </dgm:t>
    </dgm:pt>
    <dgm:pt modelId="{622B205B-59D3-9D49-B8B0-0B3A2A34EC0B}" type="sibTrans" cxnId="{162683EC-BCE1-ED49-AD0B-33E3CF691738}">
      <dgm:prSet/>
      <dgm:spPr/>
      <dgm:t>
        <a:bodyPr/>
        <a:lstStyle/>
        <a:p>
          <a:endParaRPr lang="pt-PT" sz="700"/>
        </a:p>
      </dgm:t>
    </dgm:pt>
    <dgm:pt modelId="{2DE96918-62BA-7A46-B312-FDA0AD179EB7}">
      <dgm:prSet phldrT="[Texto]" custT="1"/>
      <dgm:spPr>
        <a:xfrm rot="5400000">
          <a:off x="-145431" y="3591516"/>
          <a:ext cx="969546" cy="678682"/>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buNone/>
          </a:pPr>
          <a:r>
            <a:rPr lang="es-MX" sz="700">
              <a:solidFill>
                <a:sysClr val="window" lastClr="FFFFFF"/>
              </a:solidFill>
              <a:latin typeface="Calibri"/>
              <a:ea typeface="+mn-ea"/>
              <a:cs typeface="+mn-cs"/>
            </a:rPr>
            <a:t>PASO 5: Predicción numérica del tiempo por conjuntos</a:t>
          </a:r>
        </a:p>
      </dgm:t>
    </dgm:pt>
    <dgm:pt modelId="{3FA17D6A-B24A-D54C-92C0-7217A40401AF}" type="parTrans" cxnId="{F12A0146-16EA-D445-8723-114810600417}">
      <dgm:prSet/>
      <dgm:spPr/>
      <dgm:t>
        <a:bodyPr/>
        <a:lstStyle/>
        <a:p>
          <a:endParaRPr lang="pt-PT" sz="700"/>
        </a:p>
      </dgm:t>
    </dgm:pt>
    <dgm:pt modelId="{18DB70DA-0877-B149-BB81-B7557209D488}" type="sibTrans" cxnId="{F12A0146-16EA-D445-8723-114810600417}">
      <dgm:prSet/>
      <dgm:spPr/>
      <dgm:t>
        <a:bodyPr/>
        <a:lstStyle/>
        <a:p>
          <a:endParaRPr lang="pt-PT" sz="700"/>
        </a:p>
      </dgm:t>
    </dgm:pt>
    <dgm:pt modelId="{EE5AE3AC-18A0-3640-826B-79CA9C505D20}">
      <dgm:prSet phldrT="[Texto]" custT="1"/>
      <dgm:spPr>
        <a:xfrm rot="5400000">
          <a:off x="-145431" y="4451183"/>
          <a:ext cx="969546" cy="678682"/>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buNone/>
          </a:pPr>
          <a:r>
            <a:rPr lang="es-MX" sz="700">
              <a:solidFill>
                <a:sysClr val="window" lastClr="FFFFFF"/>
              </a:solidFill>
              <a:latin typeface="Calibri"/>
              <a:ea typeface="+mn-ea"/>
              <a:cs typeface="+mn-cs"/>
            </a:rPr>
            <a:t>PASO 6: Debate</a:t>
          </a:r>
        </a:p>
      </dgm:t>
    </dgm:pt>
    <dgm:pt modelId="{B776B6EC-8B91-CC46-BDB6-FED40E695507}" type="parTrans" cxnId="{0627D6D1-304C-A847-9364-606DD46CB0B8}">
      <dgm:prSet/>
      <dgm:spPr/>
      <dgm:t>
        <a:bodyPr/>
        <a:lstStyle/>
        <a:p>
          <a:endParaRPr lang="pt-PT" sz="700"/>
        </a:p>
      </dgm:t>
    </dgm:pt>
    <dgm:pt modelId="{2BB814F2-89CE-4647-954B-352716B6A3FA}" type="sibTrans" cxnId="{0627D6D1-304C-A847-9364-606DD46CB0B8}">
      <dgm:prSet/>
      <dgm:spPr/>
      <dgm:t>
        <a:bodyPr/>
        <a:lstStyle/>
        <a:p>
          <a:endParaRPr lang="pt-PT" sz="700"/>
        </a:p>
      </dgm:t>
    </dgm:pt>
    <dgm:pt modelId="{C3291333-15A1-A54D-B187-E8C4570F81AC}">
      <dgm:prSet phldrT="[Texto]" custT="1"/>
      <dgm:spPr>
        <a:xfrm rot="5400000">
          <a:off x="-145431" y="5310849"/>
          <a:ext cx="969546" cy="678682"/>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buNone/>
          </a:pPr>
          <a:r>
            <a:rPr lang="es-MX" sz="700">
              <a:solidFill>
                <a:sysClr val="window" lastClr="FFFFFF"/>
              </a:solidFill>
              <a:latin typeface="Calibri"/>
              <a:ea typeface="+mn-ea"/>
              <a:cs typeface="+mn-cs"/>
            </a:rPr>
            <a:t>PASO 7: Orientaciones internas</a:t>
          </a:r>
        </a:p>
      </dgm:t>
    </dgm:pt>
    <dgm:pt modelId="{3E4837C1-701A-B445-AC1E-269C2DB8CDB0}" type="parTrans" cxnId="{FE0E9E6D-B9B7-2344-88E4-C31273A181B8}">
      <dgm:prSet/>
      <dgm:spPr/>
      <dgm:t>
        <a:bodyPr/>
        <a:lstStyle/>
        <a:p>
          <a:endParaRPr lang="pt-PT" sz="700"/>
        </a:p>
      </dgm:t>
    </dgm:pt>
    <dgm:pt modelId="{4768012F-77C7-BA47-9CFB-11D016FCEF94}" type="sibTrans" cxnId="{FE0E9E6D-B9B7-2344-88E4-C31273A181B8}">
      <dgm:prSet/>
      <dgm:spPr/>
      <dgm:t>
        <a:bodyPr/>
        <a:lstStyle/>
        <a:p>
          <a:endParaRPr lang="pt-PT" sz="700"/>
        </a:p>
      </dgm:t>
    </dgm:pt>
    <dgm:pt modelId="{69C07F8A-8115-304A-AC9F-F0C4CD8D71DA}">
      <dgm:prSet phldrT="[Texto]" custT="1"/>
      <dgm:spPr>
        <a:xfrm rot="5400000">
          <a:off x="-145431" y="6170516"/>
          <a:ext cx="969546" cy="678682"/>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buNone/>
          </a:pPr>
          <a:r>
            <a:rPr lang="es-MX" sz="700">
              <a:solidFill>
                <a:sysClr val="window" lastClr="FFFFFF"/>
              </a:solidFill>
              <a:latin typeface="Calibri"/>
              <a:ea typeface="+mn-ea"/>
              <a:cs typeface="+mn-cs"/>
            </a:rPr>
            <a:t>PASO 8: Predicción</a:t>
          </a:r>
        </a:p>
      </dgm:t>
    </dgm:pt>
    <dgm:pt modelId="{18A2C1CD-6F00-CC48-9D9A-E5195BB1AEE8}" type="parTrans" cxnId="{1197C8AE-113A-A146-9DDC-6D0EC769708E}">
      <dgm:prSet/>
      <dgm:spPr/>
      <dgm:t>
        <a:bodyPr/>
        <a:lstStyle/>
        <a:p>
          <a:endParaRPr lang="pt-PT" sz="700"/>
        </a:p>
      </dgm:t>
    </dgm:pt>
    <dgm:pt modelId="{3168C3BE-67FB-AD4D-9442-51F8F88BB974}" type="sibTrans" cxnId="{1197C8AE-113A-A146-9DDC-6D0EC769708E}">
      <dgm:prSet/>
      <dgm:spPr/>
      <dgm:t>
        <a:bodyPr/>
        <a:lstStyle/>
        <a:p>
          <a:endParaRPr lang="pt-PT" sz="700"/>
        </a:p>
      </dgm:t>
    </dgm:pt>
    <dgm:pt modelId="{ED194657-9DF7-7C4F-BBF9-E6E8AD035887}">
      <dgm:prSet phldrT="[Texto]" custT="1"/>
      <dgm:spPr>
        <a:xfrm rot="5400000">
          <a:off x="-145431" y="7030182"/>
          <a:ext cx="969546" cy="678682"/>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buNone/>
          </a:pPr>
          <a:r>
            <a:rPr lang="es-MX" sz="700">
              <a:solidFill>
                <a:sysClr val="window" lastClr="FFFFFF"/>
              </a:solidFill>
              <a:latin typeface="Calibri"/>
              <a:ea typeface="+mn-ea"/>
              <a:cs typeface="+mn-cs"/>
            </a:rPr>
            <a:t>PASO 9: Examen y actualización</a:t>
          </a:r>
        </a:p>
      </dgm:t>
    </dgm:pt>
    <dgm:pt modelId="{58A34DDC-77D6-0949-97FC-B15FEFA57AA6}" type="parTrans" cxnId="{31AAD696-E50E-7549-BA00-97DE10C404F7}">
      <dgm:prSet/>
      <dgm:spPr/>
      <dgm:t>
        <a:bodyPr/>
        <a:lstStyle/>
        <a:p>
          <a:endParaRPr lang="pt-PT" sz="700"/>
        </a:p>
      </dgm:t>
    </dgm:pt>
    <dgm:pt modelId="{17BE53B8-5F37-204A-B9DF-C7F935946D4F}" type="sibTrans" cxnId="{31AAD696-E50E-7549-BA00-97DE10C404F7}">
      <dgm:prSet/>
      <dgm:spPr/>
      <dgm:t>
        <a:bodyPr/>
        <a:lstStyle/>
        <a:p>
          <a:endParaRPr lang="pt-PT" sz="700"/>
        </a:p>
      </dgm:t>
    </dgm:pt>
    <dgm:pt modelId="{B148858E-5CF3-8241-806F-71C5C3689B13}">
      <dgm:prSet phldrT="[Texto]" custT="1"/>
      <dgm:spPr>
        <a:xfrm rot="5400000">
          <a:off x="1993691" y="1271409"/>
          <a:ext cx="630204" cy="3260222"/>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l">
            <a:buChar char="•"/>
          </a:pPr>
          <a:r>
            <a:rPr lang="es-MX" sz="700">
              <a:solidFill>
                <a:sysClr val="windowText" lastClr="000000">
                  <a:hueOff val="0"/>
                  <a:satOff val="0"/>
                  <a:lumOff val="0"/>
                  <a:alphaOff val="0"/>
                </a:sysClr>
              </a:solidFill>
              <a:latin typeface="Calibri"/>
              <a:ea typeface="+mn-ea"/>
              <a:cs typeface="+mn-cs"/>
            </a:rPr>
            <a:t>Examinar la evolución sinóptica que aparece en la predicción numérica del tiempo a escala mundial y de área limitada </a:t>
          </a:r>
          <a:r>
            <a:rPr lang="es-MX" sz="700" i="1">
              <a:solidFill>
                <a:sysClr val="windowText" lastClr="000000">
                  <a:hueOff val="0"/>
                  <a:satOff val="0"/>
                  <a:lumOff val="0"/>
                  <a:alphaOff val="0"/>
                </a:sysClr>
              </a:solidFill>
              <a:latin typeface="Calibri"/>
              <a:ea typeface="+mn-ea"/>
              <a:cs typeface="+mn-cs"/>
            </a:rPr>
            <a:t>(Nota: esto incluye los productos de los CMM y los CMRE que se ocupan de la predicción numérica del tiempo determinística a escala mundial; al consultar al Centro Principal que se encarga de la verificación de la predicción numérica del tiempo determinística, los pronosticadores se hacen una idea del desempeño de los modelos según la época del año).</a:t>
          </a:r>
          <a:r>
            <a:rPr lang="es-MX" sz="700">
              <a:solidFill>
                <a:sysClr val="windowText" lastClr="000000">
                  <a:hueOff val="0"/>
                  <a:satOff val="0"/>
                  <a:lumOff val="0"/>
                  <a:alphaOff val="0"/>
                </a:sysClr>
              </a:solidFill>
              <a:latin typeface="Calibri"/>
              <a:ea typeface="+mn-ea"/>
              <a:cs typeface="+mn-cs"/>
            </a:rPr>
            <a:t>  </a:t>
          </a:r>
        </a:p>
      </dgm:t>
    </dgm:pt>
    <dgm:pt modelId="{27623A01-A45F-AE43-BE90-996094956984}" type="parTrans" cxnId="{CD567CF0-B8AB-A94D-866A-2E767EFB59F6}">
      <dgm:prSet/>
      <dgm:spPr/>
      <dgm:t>
        <a:bodyPr/>
        <a:lstStyle/>
        <a:p>
          <a:endParaRPr lang="pt-PT" sz="700"/>
        </a:p>
      </dgm:t>
    </dgm:pt>
    <dgm:pt modelId="{A529AE84-AE39-5949-B42A-F121DF150D7A}" type="sibTrans" cxnId="{CD567CF0-B8AB-A94D-866A-2E767EFB59F6}">
      <dgm:prSet/>
      <dgm:spPr/>
      <dgm:t>
        <a:bodyPr/>
        <a:lstStyle/>
        <a:p>
          <a:endParaRPr lang="pt-PT" sz="700"/>
        </a:p>
      </dgm:t>
    </dgm:pt>
    <dgm:pt modelId="{F8C8D8A4-75A6-7D41-AA62-2450A1F981AD}">
      <dgm:prSet phldrT="[Texto]" custT="1"/>
      <dgm:spPr>
        <a:xfrm rot="5400000">
          <a:off x="1993691" y="2131076"/>
          <a:ext cx="630204" cy="3260222"/>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es-MX" sz="700">
              <a:solidFill>
                <a:sysClr val="windowText" lastClr="000000">
                  <a:hueOff val="0"/>
                  <a:satOff val="0"/>
                  <a:lumOff val="0"/>
                  <a:alphaOff val="0"/>
                </a:sysClr>
              </a:solidFill>
              <a:latin typeface="Calibri"/>
              <a:ea typeface="+mn-ea"/>
              <a:cs typeface="+mn-cs"/>
            </a:rPr>
            <a:t>Examinar los productos de la predicción numérica del tiempo por conjuntos a escala mundial y la predicción numérica del tiempo por conjuntos de área limitada para determinar la coincidencia entre las medias de los conjuntos y la predicción numérica del tiempo determinística. Prestar atención a los datos anómalos que pudiera haber en la distribución de los conjuntos. </a:t>
          </a:r>
          <a:r>
            <a:rPr lang="es-MX" sz="700" i="1">
              <a:solidFill>
                <a:sysClr val="windowText" lastClr="000000">
                  <a:hueOff val="0"/>
                  <a:satOff val="0"/>
                  <a:lumOff val="0"/>
                  <a:alphaOff val="0"/>
                </a:sysClr>
              </a:solidFill>
              <a:latin typeface="Calibri"/>
              <a:ea typeface="+mn-ea"/>
              <a:cs typeface="+mn-cs"/>
            </a:rPr>
            <a:t>(Nota: esto incluye los productos de los CMM y los CMRE que se ocupan de la predicción numérica del tiempo por conjuntos a escala mundial).</a:t>
          </a:r>
          <a:r>
            <a:rPr lang="es-MX" sz="700">
              <a:solidFill>
                <a:sysClr val="windowText" lastClr="000000">
                  <a:hueOff val="0"/>
                  <a:satOff val="0"/>
                  <a:lumOff val="0"/>
                  <a:alphaOff val="0"/>
                </a:sysClr>
              </a:solidFill>
              <a:latin typeface="Calibri"/>
              <a:ea typeface="+mn-ea"/>
              <a:cs typeface="+mn-cs"/>
            </a:rPr>
            <a:t> </a:t>
          </a:r>
        </a:p>
      </dgm:t>
    </dgm:pt>
    <dgm:pt modelId="{0AF24FCA-1A04-D040-8812-F5C3CBA623E7}" type="parTrans" cxnId="{821BC5A5-96AA-4D41-9A87-A0998A4B166C}">
      <dgm:prSet/>
      <dgm:spPr/>
      <dgm:t>
        <a:bodyPr/>
        <a:lstStyle/>
        <a:p>
          <a:endParaRPr lang="pt-PT" sz="700"/>
        </a:p>
      </dgm:t>
    </dgm:pt>
    <dgm:pt modelId="{F5FEB0D5-61C3-F64C-BEA7-351F9E3DEB33}" type="sibTrans" cxnId="{821BC5A5-96AA-4D41-9A87-A0998A4B166C}">
      <dgm:prSet/>
      <dgm:spPr/>
      <dgm:t>
        <a:bodyPr/>
        <a:lstStyle/>
        <a:p>
          <a:endParaRPr lang="pt-PT" sz="700"/>
        </a:p>
      </dgm:t>
    </dgm:pt>
    <dgm:pt modelId="{9F2F4690-11B5-384B-9406-C6F1A116A0B6}">
      <dgm:prSet phldrT="[Texto]" custT="1"/>
      <dgm:spPr>
        <a:xfrm rot="5400000">
          <a:off x="1993691" y="2990742"/>
          <a:ext cx="630204" cy="3260222"/>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es-MX" sz="700">
              <a:solidFill>
                <a:sysClr val="windowText" lastClr="000000">
                  <a:hueOff val="0"/>
                  <a:satOff val="0"/>
                  <a:lumOff val="0"/>
                  <a:alphaOff val="0"/>
                </a:sysClr>
              </a:solidFill>
              <a:latin typeface="Calibri"/>
              <a:ea typeface="+mn-ea"/>
              <a:cs typeface="+mn-cs"/>
            </a:rPr>
            <a:t>Hablar sobre la evolución probable de la predicción con los colegas que estén de servicio, y acordar una predicción consensuada. </a:t>
          </a:r>
          <a:r>
            <a:rPr lang="es-MX" sz="700" i="0">
              <a:solidFill>
                <a:sysClr val="windowText" lastClr="000000">
                  <a:hueOff val="0"/>
                  <a:satOff val="0"/>
                  <a:lumOff val="0"/>
                  <a:alphaOff val="0"/>
                </a:sysClr>
              </a:solidFill>
              <a:latin typeface="Calibri"/>
              <a:ea typeface="+mn-ea"/>
              <a:cs typeface="+mn-cs"/>
            </a:rPr>
            <a:t>Esto es muy importante para que las predicciones públicas, aeronáuticas y marinas sean coherentes.</a:t>
          </a:r>
        </a:p>
      </dgm:t>
    </dgm:pt>
    <dgm:pt modelId="{C91841B8-BD5F-BA44-90B0-426AFEF0530E}" type="parTrans" cxnId="{64FA46FF-5EE2-2C41-AA30-B96BF5310ADE}">
      <dgm:prSet/>
      <dgm:spPr/>
      <dgm:t>
        <a:bodyPr/>
        <a:lstStyle/>
        <a:p>
          <a:endParaRPr lang="pt-PT" sz="700"/>
        </a:p>
      </dgm:t>
    </dgm:pt>
    <dgm:pt modelId="{DF803989-D3E8-1E47-9E8E-C9167FBAC355}" type="sibTrans" cxnId="{64FA46FF-5EE2-2C41-AA30-B96BF5310ADE}">
      <dgm:prSet/>
      <dgm:spPr/>
      <dgm:t>
        <a:bodyPr/>
        <a:lstStyle/>
        <a:p>
          <a:endParaRPr lang="pt-PT" sz="700"/>
        </a:p>
      </dgm:t>
    </dgm:pt>
    <dgm:pt modelId="{D19B7FDC-F733-0C48-9CF8-C7B380A14002}">
      <dgm:prSet phldrT="[Texto]" custT="1"/>
      <dgm:spPr>
        <a:xfrm rot="5400000">
          <a:off x="1993691" y="3850409"/>
          <a:ext cx="630204" cy="3260222"/>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es-MX" sz="700">
              <a:solidFill>
                <a:sysClr val="windowText" lastClr="000000">
                  <a:hueOff val="0"/>
                  <a:satOff val="0"/>
                  <a:lumOff val="0"/>
                  <a:alphaOff val="0"/>
                </a:sysClr>
              </a:solidFill>
              <a:latin typeface="Calibri"/>
              <a:ea typeface="+mn-ea"/>
              <a:cs typeface="+mn-cs"/>
            </a:rPr>
            <a:t>Preparar un texto breve en que se resuma la predicción consensuada (puede expresarse de forma técnica, ya que es solo para uso interno). Hacer comentarios sobre la temperatura, el viento, el tiempo y otros. </a:t>
          </a:r>
        </a:p>
      </dgm:t>
    </dgm:pt>
    <dgm:pt modelId="{D5EA26EF-938B-754D-BCDB-679EDD9BF769}" type="parTrans" cxnId="{0BF9BB24-F760-7240-AA0E-80D2CC6D5A59}">
      <dgm:prSet/>
      <dgm:spPr/>
      <dgm:t>
        <a:bodyPr/>
        <a:lstStyle/>
        <a:p>
          <a:endParaRPr lang="pt-PT" sz="700"/>
        </a:p>
      </dgm:t>
    </dgm:pt>
    <dgm:pt modelId="{16732066-BAB4-8F45-99DA-0799E11A3CD3}" type="sibTrans" cxnId="{0BF9BB24-F760-7240-AA0E-80D2CC6D5A59}">
      <dgm:prSet/>
      <dgm:spPr/>
      <dgm:t>
        <a:bodyPr/>
        <a:lstStyle/>
        <a:p>
          <a:endParaRPr lang="pt-PT" sz="700"/>
        </a:p>
      </dgm:t>
    </dgm:pt>
    <dgm:pt modelId="{28D2AEAC-EE81-DA4D-B0C6-1F502830834A}">
      <dgm:prSet phldrT="[Texto]" custT="1"/>
      <dgm:spPr>
        <a:xfrm rot="5400000">
          <a:off x="1993691" y="4710075"/>
          <a:ext cx="630204" cy="3260222"/>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es-MX" sz="700">
              <a:solidFill>
                <a:sysClr val="windowText" lastClr="000000">
                  <a:hueOff val="0"/>
                  <a:satOff val="0"/>
                  <a:lumOff val="0"/>
                  <a:alphaOff val="0"/>
                </a:sysClr>
              </a:solidFill>
              <a:latin typeface="Calibri"/>
              <a:ea typeface="+mn-ea"/>
              <a:cs typeface="+mn-cs"/>
            </a:rPr>
            <a:t>Preparar el texto de la predicción y otros productos sobre la base del documento de orientaciones descrito anteriormente.</a:t>
          </a:r>
        </a:p>
      </dgm:t>
    </dgm:pt>
    <dgm:pt modelId="{A9CFEB2D-DB61-EC42-89B6-1D3DA969C6A9}" type="parTrans" cxnId="{7B0107F9-40AE-C345-AAA8-1E22098DDE8E}">
      <dgm:prSet/>
      <dgm:spPr/>
      <dgm:t>
        <a:bodyPr/>
        <a:lstStyle/>
        <a:p>
          <a:endParaRPr lang="pt-PT" sz="700"/>
        </a:p>
      </dgm:t>
    </dgm:pt>
    <dgm:pt modelId="{AAEAF14F-D845-4B46-8128-A155E6BEB517}" type="sibTrans" cxnId="{7B0107F9-40AE-C345-AAA8-1E22098DDE8E}">
      <dgm:prSet/>
      <dgm:spPr/>
      <dgm:t>
        <a:bodyPr/>
        <a:lstStyle/>
        <a:p>
          <a:endParaRPr lang="pt-PT" sz="700"/>
        </a:p>
      </dgm:t>
    </dgm:pt>
    <dgm:pt modelId="{132B135B-D8EB-6644-B17D-9301DC413054}">
      <dgm:prSet phldrT="[Texto]" custT="1"/>
      <dgm:spPr>
        <a:xfrm rot="5400000">
          <a:off x="1993691" y="5569742"/>
          <a:ext cx="630204" cy="3260222"/>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es-MX" sz="700">
              <a:solidFill>
                <a:sysClr val="windowText" lastClr="000000">
                  <a:hueOff val="0"/>
                  <a:satOff val="0"/>
                  <a:lumOff val="0"/>
                  <a:alphaOff val="0"/>
                </a:sysClr>
              </a:solidFill>
              <a:latin typeface="Calibri"/>
              <a:ea typeface="+mn-ea"/>
              <a:cs typeface="+mn-cs"/>
            </a:rPr>
            <a:t>Examinar de forma continua los productos de predicción y cotejarlos con las observaciones y los datos de los radares y los satélites, entre otros. Modificar y volver a emitir, si es necesario.</a:t>
          </a:r>
        </a:p>
      </dgm:t>
    </dgm:pt>
    <dgm:pt modelId="{11733EC7-80A8-0E4E-B41E-35A54F647B8A}" type="parTrans" cxnId="{91F6616C-D30B-7149-9ED3-93DEEAFD55FE}">
      <dgm:prSet/>
      <dgm:spPr/>
      <dgm:t>
        <a:bodyPr/>
        <a:lstStyle/>
        <a:p>
          <a:endParaRPr lang="pt-PT" sz="700"/>
        </a:p>
      </dgm:t>
    </dgm:pt>
    <dgm:pt modelId="{3CD64D8E-3BA3-594E-98B2-227ED6F22042}" type="sibTrans" cxnId="{91F6616C-D30B-7149-9ED3-93DEEAFD55FE}">
      <dgm:prSet/>
      <dgm:spPr/>
      <dgm:t>
        <a:bodyPr/>
        <a:lstStyle/>
        <a:p>
          <a:endParaRPr lang="pt-PT" sz="700"/>
        </a:p>
      </dgm:t>
    </dgm:pt>
    <dgm:pt modelId="{44D02060-CFD7-B948-B6D8-E6AB0E166AE0}" type="pres">
      <dgm:prSet presAssocID="{B21D5D0E-E13F-C449-B257-C28DEB42D740}" presName="linearFlow" presStyleCnt="0">
        <dgm:presLayoutVars>
          <dgm:dir/>
          <dgm:animLvl val="lvl"/>
          <dgm:resizeHandles val="exact"/>
        </dgm:presLayoutVars>
      </dgm:prSet>
      <dgm:spPr/>
    </dgm:pt>
    <dgm:pt modelId="{6902F238-0AF4-F44F-BA08-9FF36755BD5E}" type="pres">
      <dgm:prSet presAssocID="{5C10EE74-9B57-8646-980D-F2311E7204EF}" presName="composite" presStyleCnt="0"/>
      <dgm:spPr/>
    </dgm:pt>
    <dgm:pt modelId="{E4C72907-5DB5-E64C-BB12-2763598644DA}" type="pres">
      <dgm:prSet presAssocID="{5C10EE74-9B57-8646-980D-F2311E7204EF}" presName="parentText" presStyleLbl="alignNode1" presStyleIdx="0" presStyleCnt="9">
        <dgm:presLayoutVars>
          <dgm:chMax val="1"/>
          <dgm:bulletEnabled val="1"/>
        </dgm:presLayoutVars>
      </dgm:prSet>
      <dgm:spPr/>
    </dgm:pt>
    <dgm:pt modelId="{92DAEA5D-030A-334A-8F16-66C0A675E681}" type="pres">
      <dgm:prSet presAssocID="{5C10EE74-9B57-8646-980D-F2311E7204EF}" presName="descendantText" presStyleLbl="alignAcc1" presStyleIdx="0" presStyleCnt="9">
        <dgm:presLayoutVars>
          <dgm:bulletEnabled val="1"/>
        </dgm:presLayoutVars>
      </dgm:prSet>
      <dgm:spPr/>
    </dgm:pt>
    <dgm:pt modelId="{5078AA6B-645C-1E43-9D82-79526C608EAD}" type="pres">
      <dgm:prSet presAssocID="{78BCF3A2-1256-204E-8905-1DC3E50D514E}" presName="sp" presStyleCnt="0"/>
      <dgm:spPr/>
    </dgm:pt>
    <dgm:pt modelId="{FB4DC8C8-A931-F345-B528-9047FF114016}" type="pres">
      <dgm:prSet presAssocID="{DE32F31F-906A-2246-B6B5-737A66C0F17A}" presName="composite" presStyleCnt="0"/>
      <dgm:spPr/>
    </dgm:pt>
    <dgm:pt modelId="{F7A9CEA6-0176-274D-9C83-3749A2770697}" type="pres">
      <dgm:prSet presAssocID="{DE32F31F-906A-2246-B6B5-737A66C0F17A}" presName="parentText" presStyleLbl="alignNode1" presStyleIdx="1" presStyleCnt="9">
        <dgm:presLayoutVars>
          <dgm:chMax val="1"/>
          <dgm:bulletEnabled val="1"/>
        </dgm:presLayoutVars>
      </dgm:prSet>
      <dgm:spPr/>
    </dgm:pt>
    <dgm:pt modelId="{559955DC-9CB2-0B44-ACB9-CE3A6D527E60}" type="pres">
      <dgm:prSet presAssocID="{DE32F31F-906A-2246-B6B5-737A66C0F17A}" presName="descendantText" presStyleLbl="alignAcc1" presStyleIdx="1" presStyleCnt="9">
        <dgm:presLayoutVars>
          <dgm:bulletEnabled val="1"/>
        </dgm:presLayoutVars>
      </dgm:prSet>
      <dgm:spPr/>
    </dgm:pt>
    <dgm:pt modelId="{0F4004BA-6D75-1048-A16A-EBC9A3972C1F}" type="pres">
      <dgm:prSet presAssocID="{B5B1A7F7-8CBE-C548-B573-A39E9BC3D794}" presName="sp" presStyleCnt="0"/>
      <dgm:spPr/>
    </dgm:pt>
    <dgm:pt modelId="{05E279EC-FEA6-DA43-963B-9194796FAB94}" type="pres">
      <dgm:prSet presAssocID="{85E347F5-7DAD-0D44-85BA-4D50C5F92DA7}" presName="composite" presStyleCnt="0"/>
      <dgm:spPr/>
    </dgm:pt>
    <dgm:pt modelId="{FEFF1C66-A3B8-9D4B-849F-CDC75C0AF1E7}" type="pres">
      <dgm:prSet presAssocID="{85E347F5-7DAD-0D44-85BA-4D50C5F92DA7}" presName="parentText" presStyleLbl="alignNode1" presStyleIdx="2" presStyleCnt="9">
        <dgm:presLayoutVars>
          <dgm:chMax val="1"/>
          <dgm:bulletEnabled val="1"/>
        </dgm:presLayoutVars>
      </dgm:prSet>
      <dgm:spPr/>
    </dgm:pt>
    <dgm:pt modelId="{ED7F0A95-A0E7-BD40-9CCF-6DCB1E3A3CE6}" type="pres">
      <dgm:prSet presAssocID="{85E347F5-7DAD-0D44-85BA-4D50C5F92DA7}" presName="descendantText" presStyleLbl="alignAcc1" presStyleIdx="2" presStyleCnt="9">
        <dgm:presLayoutVars>
          <dgm:bulletEnabled val="1"/>
        </dgm:presLayoutVars>
      </dgm:prSet>
      <dgm:spPr/>
    </dgm:pt>
    <dgm:pt modelId="{D1F9579A-C379-9146-B380-A2E766D36752}" type="pres">
      <dgm:prSet presAssocID="{F33E46A3-36E1-3242-A287-39B0D1E8845C}" presName="sp" presStyleCnt="0"/>
      <dgm:spPr/>
    </dgm:pt>
    <dgm:pt modelId="{8E579B5F-EC4F-A04E-8E82-54068D4D2E3B}" type="pres">
      <dgm:prSet presAssocID="{07528A0F-A8BA-A94D-80F6-1F175E226852}" presName="composite" presStyleCnt="0"/>
      <dgm:spPr/>
    </dgm:pt>
    <dgm:pt modelId="{FB7CD394-5680-2D41-A67E-B4602268E13D}" type="pres">
      <dgm:prSet presAssocID="{07528A0F-A8BA-A94D-80F6-1F175E226852}" presName="parentText" presStyleLbl="alignNode1" presStyleIdx="3" presStyleCnt="9">
        <dgm:presLayoutVars>
          <dgm:chMax val="1"/>
          <dgm:bulletEnabled val="1"/>
        </dgm:presLayoutVars>
      </dgm:prSet>
      <dgm:spPr/>
    </dgm:pt>
    <dgm:pt modelId="{22F7B247-EE4E-0045-818F-5783A25680C6}" type="pres">
      <dgm:prSet presAssocID="{07528A0F-A8BA-A94D-80F6-1F175E226852}" presName="descendantText" presStyleLbl="alignAcc1" presStyleIdx="3" presStyleCnt="9">
        <dgm:presLayoutVars>
          <dgm:bulletEnabled val="1"/>
        </dgm:presLayoutVars>
      </dgm:prSet>
      <dgm:spPr/>
    </dgm:pt>
    <dgm:pt modelId="{04D7C893-A348-854C-A3EA-B9FFDA956D1C}" type="pres">
      <dgm:prSet presAssocID="{622B205B-59D3-9D49-B8B0-0B3A2A34EC0B}" presName="sp" presStyleCnt="0"/>
      <dgm:spPr/>
    </dgm:pt>
    <dgm:pt modelId="{34557DAC-8080-9D47-9DB4-B12221CA9C96}" type="pres">
      <dgm:prSet presAssocID="{2DE96918-62BA-7A46-B312-FDA0AD179EB7}" presName="composite" presStyleCnt="0"/>
      <dgm:spPr/>
    </dgm:pt>
    <dgm:pt modelId="{D973094A-3B31-494E-AC74-364F4004D044}" type="pres">
      <dgm:prSet presAssocID="{2DE96918-62BA-7A46-B312-FDA0AD179EB7}" presName="parentText" presStyleLbl="alignNode1" presStyleIdx="4" presStyleCnt="9">
        <dgm:presLayoutVars>
          <dgm:chMax val="1"/>
          <dgm:bulletEnabled val="1"/>
        </dgm:presLayoutVars>
      </dgm:prSet>
      <dgm:spPr/>
    </dgm:pt>
    <dgm:pt modelId="{9A8019F7-AD91-3949-BF1E-B0F09D5C1A5C}" type="pres">
      <dgm:prSet presAssocID="{2DE96918-62BA-7A46-B312-FDA0AD179EB7}" presName="descendantText" presStyleLbl="alignAcc1" presStyleIdx="4" presStyleCnt="9">
        <dgm:presLayoutVars>
          <dgm:bulletEnabled val="1"/>
        </dgm:presLayoutVars>
      </dgm:prSet>
      <dgm:spPr/>
    </dgm:pt>
    <dgm:pt modelId="{5A1223C6-B8B2-4E46-BEC2-11D5F343FE79}" type="pres">
      <dgm:prSet presAssocID="{18DB70DA-0877-B149-BB81-B7557209D488}" presName="sp" presStyleCnt="0"/>
      <dgm:spPr/>
    </dgm:pt>
    <dgm:pt modelId="{88B634D9-E961-4D40-ADE7-C8494DFDEA63}" type="pres">
      <dgm:prSet presAssocID="{EE5AE3AC-18A0-3640-826B-79CA9C505D20}" presName="composite" presStyleCnt="0"/>
      <dgm:spPr/>
    </dgm:pt>
    <dgm:pt modelId="{5B4CE5B7-46B2-F447-9264-7263015D2C3E}" type="pres">
      <dgm:prSet presAssocID="{EE5AE3AC-18A0-3640-826B-79CA9C505D20}" presName="parentText" presStyleLbl="alignNode1" presStyleIdx="5" presStyleCnt="9">
        <dgm:presLayoutVars>
          <dgm:chMax val="1"/>
          <dgm:bulletEnabled val="1"/>
        </dgm:presLayoutVars>
      </dgm:prSet>
      <dgm:spPr/>
    </dgm:pt>
    <dgm:pt modelId="{7415E7E3-99EF-0142-9D08-04FFB9B3081B}" type="pres">
      <dgm:prSet presAssocID="{EE5AE3AC-18A0-3640-826B-79CA9C505D20}" presName="descendantText" presStyleLbl="alignAcc1" presStyleIdx="5" presStyleCnt="9">
        <dgm:presLayoutVars>
          <dgm:bulletEnabled val="1"/>
        </dgm:presLayoutVars>
      </dgm:prSet>
      <dgm:spPr/>
    </dgm:pt>
    <dgm:pt modelId="{01E4C41A-00CE-534E-8FEC-C5968210E676}" type="pres">
      <dgm:prSet presAssocID="{2BB814F2-89CE-4647-954B-352716B6A3FA}" presName="sp" presStyleCnt="0"/>
      <dgm:spPr/>
    </dgm:pt>
    <dgm:pt modelId="{4B85E558-411F-384A-86C3-536541028E44}" type="pres">
      <dgm:prSet presAssocID="{C3291333-15A1-A54D-B187-E8C4570F81AC}" presName="composite" presStyleCnt="0"/>
      <dgm:spPr/>
    </dgm:pt>
    <dgm:pt modelId="{CF118F01-D097-A042-B0A2-E4C7E173701C}" type="pres">
      <dgm:prSet presAssocID="{C3291333-15A1-A54D-B187-E8C4570F81AC}" presName="parentText" presStyleLbl="alignNode1" presStyleIdx="6" presStyleCnt="9">
        <dgm:presLayoutVars>
          <dgm:chMax val="1"/>
          <dgm:bulletEnabled val="1"/>
        </dgm:presLayoutVars>
      </dgm:prSet>
      <dgm:spPr/>
    </dgm:pt>
    <dgm:pt modelId="{36E74988-709D-044A-A791-FD51CE316462}" type="pres">
      <dgm:prSet presAssocID="{C3291333-15A1-A54D-B187-E8C4570F81AC}" presName="descendantText" presStyleLbl="alignAcc1" presStyleIdx="6" presStyleCnt="9">
        <dgm:presLayoutVars>
          <dgm:bulletEnabled val="1"/>
        </dgm:presLayoutVars>
      </dgm:prSet>
      <dgm:spPr/>
    </dgm:pt>
    <dgm:pt modelId="{670D324A-6ADD-6349-A130-2946F70A274C}" type="pres">
      <dgm:prSet presAssocID="{4768012F-77C7-BA47-9CFB-11D016FCEF94}" presName="sp" presStyleCnt="0"/>
      <dgm:spPr/>
    </dgm:pt>
    <dgm:pt modelId="{C4BF5B22-2EA7-F645-AB0B-F2F152D205B1}" type="pres">
      <dgm:prSet presAssocID="{69C07F8A-8115-304A-AC9F-F0C4CD8D71DA}" presName="composite" presStyleCnt="0"/>
      <dgm:spPr/>
    </dgm:pt>
    <dgm:pt modelId="{80F0A11A-E23B-054B-988C-046EFE84E297}" type="pres">
      <dgm:prSet presAssocID="{69C07F8A-8115-304A-AC9F-F0C4CD8D71DA}" presName="parentText" presStyleLbl="alignNode1" presStyleIdx="7" presStyleCnt="9">
        <dgm:presLayoutVars>
          <dgm:chMax val="1"/>
          <dgm:bulletEnabled val="1"/>
        </dgm:presLayoutVars>
      </dgm:prSet>
      <dgm:spPr/>
    </dgm:pt>
    <dgm:pt modelId="{D4E27C60-5E39-7949-8249-462FD9262DDD}" type="pres">
      <dgm:prSet presAssocID="{69C07F8A-8115-304A-AC9F-F0C4CD8D71DA}" presName="descendantText" presStyleLbl="alignAcc1" presStyleIdx="7" presStyleCnt="9">
        <dgm:presLayoutVars>
          <dgm:bulletEnabled val="1"/>
        </dgm:presLayoutVars>
      </dgm:prSet>
      <dgm:spPr/>
    </dgm:pt>
    <dgm:pt modelId="{13F9B998-A5B2-7F46-8E36-A38A210FF73E}" type="pres">
      <dgm:prSet presAssocID="{3168C3BE-67FB-AD4D-9442-51F8F88BB974}" presName="sp" presStyleCnt="0"/>
      <dgm:spPr/>
    </dgm:pt>
    <dgm:pt modelId="{FF2535DA-B760-B44D-BF42-7F781A248652}" type="pres">
      <dgm:prSet presAssocID="{ED194657-9DF7-7C4F-BBF9-E6E8AD035887}" presName="composite" presStyleCnt="0"/>
      <dgm:spPr/>
    </dgm:pt>
    <dgm:pt modelId="{4E35397A-EC4F-D049-A8EB-D8AA2209DF73}" type="pres">
      <dgm:prSet presAssocID="{ED194657-9DF7-7C4F-BBF9-E6E8AD035887}" presName="parentText" presStyleLbl="alignNode1" presStyleIdx="8" presStyleCnt="9">
        <dgm:presLayoutVars>
          <dgm:chMax val="1"/>
          <dgm:bulletEnabled val="1"/>
        </dgm:presLayoutVars>
      </dgm:prSet>
      <dgm:spPr/>
    </dgm:pt>
    <dgm:pt modelId="{908E36E6-53A4-9443-A4BF-A3881C0FD3BB}" type="pres">
      <dgm:prSet presAssocID="{ED194657-9DF7-7C4F-BBF9-E6E8AD035887}" presName="descendantText" presStyleLbl="alignAcc1" presStyleIdx="8" presStyleCnt="9">
        <dgm:presLayoutVars>
          <dgm:bulletEnabled val="1"/>
        </dgm:presLayoutVars>
      </dgm:prSet>
      <dgm:spPr/>
    </dgm:pt>
  </dgm:ptLst>
  <dgm:cxnLst>
    <dgm:cxn modelId="{8504F704-1E40-AC4B-9B80-3B043DBBC67A}" type="presOf" srcId="{07528A0F-A8BA-A94D-80F6-1F175E226852}" destId="{FB7CD394-5680-2D41-A67E-B4602268E13D}" srcOrd="0" destOrd="0" presId="urn:microsoft.com/office/officeart/2005/8/layout/chevron2"/>
    <dgm:cxn modelId="{6C4FF31F-407F-3842-BAA1-95851477D857}" srcId="{5C10EE74-9B57-8646-980D-F2311E7204EF}" destId="{7304C0D8-DEB1-2743-BC89-56C376C235EE}" srcOrd="0" destOrd="0" parTransId="{15D0FA5A-E74D-8B43-AB39-0B96C835490B}" sibTransId="{0FC7FD92-4E66-FF40-B439-36F195E5557D}"/>
    <dgm:cxn modelId="{26CCDE21-DC6F-F94B-B329-74EE5DACAB9E}" type="presOf" srcId="{ED194657-9DF7-7C4F-BBF9-E6E8AD035887}" destId="{4E35397A-EC4F-D049-A8EB-D8AA2209DF73}" srcOrd="0" destOrd="0" presId="urn:microsoft.com/office/officeart/2005/8/layout/chevron2"/>
    <dgm:cxn modelId="{09E54323-0E8E-074A-BB09-4C9D3FA61B17}" type="presOf" srcId="{85E347F5-7DAD-0D44-85BA-4D50C5F92DA7}" destId="{FEFF1C66-A3B8-9D4B-849F-CDC75C0AF1E7}" srcOrd="0" destOrd="0" presId="urn:microsoft.com/office/officeart/2005/8/layout/chevron2"/>
    <dgm:cxn modelId="{0BF9BB24-F760-7240-AA0E-80D2CC6D5A59}" srcId="{C3291333-15A1-A54D-B187-E8C4570F81AC}" destId="{D19B7FDC-F733-0C48-9CF8-C7B380A14002}" srcOrd="0" destOrd="0" parTransId="{D5EA26EF-938B-754D-BCDB-679EDD9BF769}" sibTransId="{16732066-BAB4-8F45-99DA-0799E11A3CD3}"/>
    <dgm:cxn modelId="{01C56526-431B-2E45-AE6E-FF3FDDE14472}" type="presOf" srcId="{5C10EE74-9B57-8646-980D-F2311E7204EF}" destId="{E4C72907-5DB5-E64C-BB12-2763598644DA}" srcOrd="0" destOrd="0" presId="urn:microsoft.com/office/officeart/2005/8/layout/chevron2"/>
    <dgm:cxn modelId="{62A6272A-20FF-8D4B-AB01-99E4CCC3C26F}" type="presOf" srcId="{B148858E-5CF3-8241-806F-71C5C3689B13}" destId="{22F7B247-EE4E-0045-818F-5783A25680C6}" srcOrd="0" destOrd="0" presId="urn:microsoft.com/office/officeart/2005/8/layout/chevron2"/>
    <dgm:cxn modelId="{5204562A-E6EB-2D4F-8C31-3A6C1047BA82}" type="presOf" srcId="{7304C0D8-DEB1-2743-BC89-56C376C235EE}" destId="{92DAEA5D-030A-334A-8F16-66C0A675E681}" srcOrd="0" destOrd="0" presId="urn:microsoft.com/office/officeart/2005/8/layout/chevron2"/>
    <dgm:cxn modelId="{C06CE930-C8FB-1D4C-89D6-0B5F8D4F3748}" type="presOf" srcId="{132B135B-D8EB-6644-B17D-9301DC413054}" destId="{908E36E6-53A4-9443-A4BF-A3881C0FD3BB}" srcOrd="0" destOrd="0" presId="urn:microsoft.com/office/officeart/2005/8/layout/chevron2"/>
    <dgm:cxn modelId="{B690163B-F21F-ED4C-B0AA-81EAA64A1995}" srcId="{85E347F5-7DAD-0D44-85BA-4D50C5F92DA7}" destId="{90180119-A0D1-854F-8F76-F6165F26E6EC}" srcOrd="0" destOrd="0" parTransId="{10276F0B-71E2-5F4F-AA9C-F5314C81EA9C}" sibTransId="{FFBD6044-B6C3-9E43-82A3-10E6A446936F}"/>
    <dgm:cxn modelId="{61A30142-D417-B44B-93B4-B81B5EBBBFFF}" type="presOf" srcId="{90180119-A0D1-854F-8F76-F6165F26E6EC}" destId="{ED7F0A95-A0E7-BD40-9CCF-6DCB1E3A3CE6}" srcOrd="0" destOrd="0" presId="urn:microsoft.com/office/officeart/2005/8/layout/chevron2"/>
    <dgm:cxn modelId="{F12A0146-16EA-D445-8723-114810600417}" srcId="{B21D5D0E-E13F-C449-B257-C28DEB42D740}" destId="{2DE96918-62BA-7A46-B312-FDA0AD179EB7}" srcOrd="4" destOrd="0" parTransId="{3FA17D6A-B24A-D54C-92C0-7217A40401AF}" sibTransId="{18DB70DA-0877-B149-BB81-B7557209D488}"/>
    <dgm:cxn modelId="{61C23D48-7A45-034F-BA1D-84075B1F31AE}" type="presOf" srcId="{C3291333-15A1-A54D-B187-E8C4570F81AC}" destId="{CF118F01-D097-A042-B0A2-E4C7E173701C}" srcOrd="0" destOrd="0" presId="urn:microsoft.com/office/officeart/2005/8/layout/chevron2"/>
    <dgm:cxn modelId="{7AB40C6C-C93E-B049-AD3D-C6A251458031}" type="presOf" srcId="{2DE96918-62BA-7A46-B312-FDA0AD179EB7}" destId="{D973094A-3B31-494E-AC74-364F4004D044}" srcOrd="0" destOrd="0" presId="urn:microsoft.com/office/officeart/2005/8/layout/chevron2"/>
    <dgm:cxn modelId="{71473F6C-052F-8141-9AC6-8D7C849E347D}" srcId="{DE32F31F-906A-2246-B6B5-737A66C0F17A}" destId="{87E28E83-5011-AB4C-9217-BCB9826EDDD4}" srcOrd="0" destOrd="0" parTransId="{B96FECC9-ADC9-5B43-825F-81D2B400D540}" sibTransId="{69674092-4CC7-C94B-B9E0-0059924F754A}"/>
    <dgm:cxn modelId="{91F6616C-D30B-7149-9ED3-93DEEAFD55FE}" srcId="{ED194657-9DF7-7C4F-BBF9-E6E8AD035887}" destId="{132B135B-D8EB-6644-B17D-9301DC413054}" srcOrd="0" destOrd="0" parTransId="{11733EC7-80A8-0E4E-B41E-35A54F647B8A}" sibTransId="{3CD64D8E-3BA3-594E-98B2-227ED6F22042}"/>
    <dgm:cxn modelId="{FE0E9E6D-B9B7-2344-88E4-C31273A181B8}" srcId="{B21D5D0E-E13F-C449-B257-C28DEB42D740}" destId="{C3291333-15A1-A54D-B187-E8C4570F81AC}" srcOrd="6" destOrd="0" parTransId="{3E4837C1-701A-B445-AC1E-269C2DB8CDB0}" sibTransId="{4768012F-77C7-BA47-9CFB-11D016FCEF94}"/>
    <dgm:cxn modelId="{E80BD46F-D568-DE48-94D3-013D8BC28F7B}" srcId="{B21D5D0E-E13F-C449-B257-C28DEB42D740}" destId="{DE32F31F-906A-2246-B6B5-737A66C0F17A}" srcOrd="1" destOrd="0" parTransId="{C7307F79-FB2F-DE4B-AF4F-0A3AA2D9155E}" sibTransId="{B5B1A7F7-8CBE-C548-B573-A39E9BC3D794}"/>
    <dgm:cxn modelId="{D4059A56-F4A2-B448-88D4-95B0BF012D24}" type="presOf" srcId="{F8C8D8A4-75A6-7D41-AA62-2450A1F981AD}" destId="{9A8019F7-AD91-3949-BF1E-B0F09D5C1A5C}" srcOrd="0" destOrd="0" presId="urn:microsoft.com/office/officeart/2005/8/layout/chevron2"/>
    <dgm:cxn modelId="{31AAD696-E50E-7549-BA00-97DE10C404F7}" srcId="{B21D5D0E-E13F-C449-B257-C28DEB42D740}" destId="{ED194657-9DF7-7C4F-BBF9-E6E8AD035887}" srcOrd="8" destOrd="0" parTransId="{58A34DDC-77D6-0949-97FC-B15FEFA57AA6}" sibTransId="{17BE53B8-5F37-204A-B9DF-C7F935946D4F}"/>
    <dgm:cxn modelId="{821BC5A5-96AA-4D41-9A87-A0998A4B166C}" srcId="{2DE96918-62BA-7A46-B312-FDA0AD179EB7}" destId="{F8C8D8A4-75A6-7D41-AA62-2450A1F981AD}" srcOrd="0" destOrd="0" parTransId="{0AF24FCA-1A04-D040-8812-F5C3CBA623E7}" sibTransId="{F5FEB0D5-61C3-F64C-BEA7-351F9E3DEB33}"/>
    <dgm:cxn modelId="{1197C8AE-113A-A146-9DDC-6D0EC769708E}" srcId="{B21D5D0E-E13F-C449-B257-C28DEB42D740}" destId="{69C07F8A-8115-304A-AC9F-F0C4CD8D71DA}" srcOrd="7" destOrd="0" parTransId="{18A2C1CD-6F00-CC48-9D9A-E5195BB1AEE8}" sibTransId="{3168C3BE-67FB-AD4D-9442-51F8F88BB974}"/>
    <dgm:cxn modelId="{6B0DB2AF-2F0A-8D44-A937-BBE1214ECD5F}" type="presOf" srcId="{69C07F8A-8115-304A-AC9F-F0C4CD8D71DA}" destId="{80F0A11A-E23B-054B-988C-046EFE84E297}" srcOrd="0" destOrd="0" presId="urn:microsoft.com/office/officeart/2005/8/layout/chevron2"/>
    <dgm:cxn modelId="{8A0933B2-4735-DA48-BA95-5904CA4564B4}" type="presOf" srcId="{DE32F31F-906A-2246-B6B5-737A66C0F17A}" destId="{F7A9CEA6-0176-274D-9C83-3749A2770697}" srcOrd="0" destOrd="0" presId="urn:microsoft.com/office/officeart/2005/8/layout/chevron2"/>
    <dgm:cxn modelId="{1A034EB4-D5BD-C146-AB7B-7D3B0F019F70}" type="presOf" srcId="{D19B7FDC-F733-0C48-9CF8-C7B380A14002}" destId="{36E74988-709D-044A-A791-FD51CE316462}" srcOrd="0" destOrd="0" presId="urn:microsoft.com/office/officeart/2005/8/layout/chevron2"/>
    <dgm:cxn modelId="{2D83FDB8-99CD-8D48-B476-B3E189918CB2}" type="presOf" srcId="{87E28E83-5011-AB4C-9217-BCB9826EDDD4}" destId="{559955DC-9CB2-0B44-ACB9-CE3A6D527E60}" srcOrd="0" destOrd="0" presId="urn:microsoft.com/office/officeart/2005/8/layout/chevron2"/>
    <dgm:cxn modelId="{0E4EF0C3-BCB8-934A-A36C-8FA977A7E089}" srcId="{B21D5D0E-E13F-C449-B257-C28DEB42D740}" destId="{85E347F5-7DAD-0D44-85BA-4D50C5F92DA7}" srcOrd="2" destOrd="0" parTransId="{529115AA-8EA0-1449-8899-909A235C63BF}" sibTransId="{F33E46A3-36E1-3242-A287-39B0D1E8845C}"/>
    <dgm:cxn modelId="{0627D6D1-304C-A847-9364-606DD46CB0B8}" srcId="{B21D5D0E-E13F-C449-B257-C28DEB42D740}" destId="{EE5AE3AC-18A0-3640-826B-79CA9C505D20}" srcOrd="5" destOrd="0" parTransId="{B776B6EC-8B91-CC46-BDB6-FED40E695507}" sibTransId="{2BB814F2-89CE-4647-954B-352716B6A3FA}"/>
    <dgm:cxn modelId="{D6A1E1D2-A971-A149-A47C-CC22D51B4E9C}" type="presOf" srcId="{9F2F4690-11B5-384B-9406-C6F1A116A0B6}" destId="{7415E7E3-99EF-0142-9D08-04FFB9B3081B}" srcOrd="0" destOrd="0" presId="urn:microsoft.com/office/officeart/2005/8/layout/chevron2"/>
    <dgm:cxn modelId="{25D950D6-DF70-8E43-BDC4-AD04F39D141B}" type="presOf" srcId="{B21D5D0E-E13F-C449-B257-C28DEB42D740}" destId="{44D02060-CFD7-B948-B6D8-E6AB0E166AE0}" srcOrd="0" destOrd="0" presId="urn:microsoft.com/office/officeart/2005/8/layout/chevron2"/>
    <dgm:cxn modelId="{EBADF0E8-904E-1A4B-B576-436977574A64}" type="presOf" srcId="{28D2AEAC-EE81-DA4D-B0C6-1F502830834A}" destId="{D4E27C60-5E39-7949-8249-462FD9262DDD}" srcOrd="0" destOrd="0" presId="urn:microsoft.com/office/officeart/2005/8/layout/chevron2"/>
    <dgm:cxn modelId="{AFAECAEB-6B38-2847-9AC6-C027BA0786BB}" srcId="{B21D5D0E-E13F-C449-B257-C28DEB42D740}" destId="{5C10EE74-9B57-8646-980D-F2311E7204EF}" srcOrd="0" destOrd="0" parTransId="{A52CD551-6359-D646-AED8-81666897F7F3}" sibTransId="{78BCF3A2-1256-204E-8905-1DC3E50D514E}"/>
    <dgm:cxn modelId="{162683EC-BCE1-ED49-AD0B-33E3CF691738}" srcId="{B21D5D0E-E13F-C449-B257-C28DEB42D740}" destId="{07528A0F-A8BA-A94D-80F6-1F175E226852}" srcOrd="3" destOrd="0" parTransId="{0268C1BC-8CD4-D34D-B725-40A9C1218F5D}" sibTransId="{622B205B-59D3-9D49-B8B0-0B3A2A34EC0B}"/>
    <dgm:cxn modelId="{CD567CF0-B8AB-A94D-866A-2E767EFB59F6}" srcId="{07528A0F-A8BA-A94D-80F6-1F175E226852}" destId="{B148858E-5CF3-8241-806F-71C5C3689B13}" srcOrd="0" destOrd="0" parTransId="{27623A01-A45F-AE43-BE90-996094956984}" sibTransId="{A529AE84-AE39-5949-B42A-F121DF150D7A}"/>
    <dgm:cxn modelId="{DA1019F5-51F5-5041-A375-B8A8BB91805C}" type="presOf" srcId="{EE5AE3AC-18A0-3640-826B-79CA9C505D20}" destId="{5B4CE5B7-46B2-F447-9264-7263015D2C3E}" srcOrd="0" destOrd="0" presId="urn:microsoft.com/office/officeart/2005/8/layout/chevron2"/>
    <dgm:cxn modelId="{7B0107F9-40AE-C345-AAA8-1E22098DDE8E}" srcId="{69C07F8A-8115-304A-AC9F-F0C4CD8D71DA}" destId="{28D2AEAC-EE81-DA4D-B0C6-1F502830834A}" srcOrd="0" destOrd="0" parTransId="{A9CFEB2D-DB61-EC42-89B6-1D3DA969C6A9}" sibTransId="{AAEAF14F-D845-4B46-8128-A155E6BEB517}"/>
    <dgm:cxn modelId="{64FA46FF-5EE2-2C41-AA30-B96BF5310ADE}" srcId="{EE5AE3AC-18A0-3640-826B-79CA9C505D20}" destId="{9F2F4690-11B5-384B-9406-C6F1A116A0B6}" srcOrd="0" destOrd="0" parTransId="{C91841B8-BD5F-BA44-90B0-426AFEF0530E}" sibTransId="{DF803989-D3E8-1E47-9E8E-C9167FBAC355}"/>
    <dgm:cxn modelId="{B390030E-DD74-7D43-967B-4605772FA776}" type="presParOf" srcId="{44D02060-CFD7-B948-B6D8-E6AB0E166AE0}" destId="{6902F238-0AF4-F44F-BA08-9FF36755BD5E}" srcOrd="0" destOrd="0" presId="urn:microsoft.com/office/officeart/2005/8/layout/chevron2"/>
    <dgm:cxn modelId="{4F4BC932-1F54-EA48-89B4-B9D1229B227F}" type="presParOf" srcId="{6902F238-0AF4-F44F-BA08-9FF36755BD5E}" destId="{E4C72907-5DB5-E64C-BB12-2763598644DA}" srcOrd="0" destOrd="0" presId="urn:microsoft.com/office/officeart/2005/8/layout/chevron2"/>
    <dgm:cxn modelId="{8FEE2833-807D-8241-A22D-55DA6E79B12E}" type="presParOf" srcId="{6902F238-0AF4-F44F-BA08-9FF36755BD5E}" destId="{92DAEA5D-030A-334A-8F16-66C0A675E681}" srcOrd="1" destOrd="0" presId="urn:microsoft.com/office/officeart/2005/8/layout/chevron2"/>
    <dgm:cxn modelId="{3F1E199B-01B1-C140-9013-5FFE8D20548D}" type="presParOf" srcId="{44D02060-CFD7-B948-B6D8-E6AB0E166AE0}" destId="{5078AA6B-645C-1E43-9D82-79526C608EAD}" srcOrd="1" destOrd="0" presId="urn:microsoft.com/office/officeart/2005/8/layout/chevron2"/>
    <dgm:cxn modelId="{773668C4-4E2B-A44C-B63C-F9187732BBFB}" type="presParOf" srcId="{44D02060-CFD7-B948-B6D8-E6AB0E166AE0}" destId="{FB4DC8C8-A931-F345-B528-9047FF114016}" srcOrd="2" destOrd="0" presId="urn:microsoft.com/office/officeart/2005/8/layout/chevron2"/>
    <dgm:cxn modelId="{2EC085E9-D275-7A40-9335-4CB217F756A5}" type="presParOf" srcId="{FB4DC8C8-A931-F345-B528-9047FF114016}" destId="{F7A9CEA6-0176-274D-9C83-3749A2770697}" srcOrd="0" destOrd="0" presId="urn:microsoft.com/office/officeart/2005/8/layout/chevron2"/>
    <dgm:cxn modelId="{AE65436A-A42B-6149-816C-D4AB42521F1A}" type="presParOf" srcId="{FB4DC8C8-A931-F345-B528-9047FF114016}" destId="{559955DC-9CB2-0B44-ACB9-CE3A6D527E60}" srcOrd="1" destOrd="0" presId="urn:microsoft.com/office/officeart/2005/8/layout/chevron2"/>
    <dgm:cxn modelId="{D62FD538-7E35-C046-8C96-71B5569D6669}" type="presParOf" srcId="{44D02060-CFD7-B948-B6D8-E6AB0E166AE0}" destId="{0F4004BA-6D75-1048-A16A-EBC9A3972C1F}" srcOrd="3" destOrd="0" presId="urn:microsoft.com/office/officeart/2005/8/layout/chevron2"/>
    <dgm:cxn modelId="{70614744-6D4D-6944-9619-70CCE1D2E88B}" type="presParOf" srcId="{44D02060-CFD7-B948-B6D8-E6AB0E166AE0}" destId="{05E279EC-FEA6-DA43-963B-9194796FAB94}" srcOrd="4" destOrd="0" presId="urn:microsoft.com/office/officeart/2005/8/layout/chevron2"/>
    <dgm:cxn modelId="{F8B1328A-DB83-BC44-B120-F1573C563470}" type="presParOf" srcId="{05E279EC-FEA6-DA43-963B-9194796FAB94}" destId="{FEFF1C66-A3B8-9D4B-849F-CDC75C0AF1E7}" srcOrd="0" destOrd="0" presId="urn:microsoft.com/office/officeart/2005/8/layout/chevron2"/>
    <dgm:cxn modelId="{685A9B6D-A386-7C45-B0F1-EFB0FC556DDD}" type="presParOf" srcId="{05E279EC-FEA6-DA43-963B-9194796FAB94}" destId="{ED7F0A95-A0E7-BD40-9CCF-6DCB1E3A3CE6}" srcOrd="1" destOrd="0" presId="urn:microsoft.com/office/officeart/2005/8/layout/chevron2"/>
    <dgm:cxn modelId="{25B8CB0E-CCD3-FB41-B118-82904FAF2291}" type="presParOf" srcId="{44D02060-CFD7-B948-B6D8-E6AB0E166AE0}" destId="{D1F9579A-C379-9146-B380-A2E766D36752}" srcOrd="5" destOrd="0" presId="urn:microsoft.com/office/officeart/2005/8/layout/chevron2"/>
    <dgm:cxn modelId="{F160B450-0841-A14B-9EF9-8BE25346BAB7}" type="presParOf" srcId="{44D02060-CFD7-B948-B6D8-E6AB0E166AE0}" destId="{8E579B5F-EC4F-A04E-8E82-54068D4D2E3B}" srcOrd="6" destOrd="0" presId="urn:microsoft.com/office/officeart/2005/8/layout/chevron2"/>
    <dgm:cxn modelId="{F9FE0185-41A5-1A45-A6A4-A510EA4C1B40}" type="presParOf" srcId="{8E579B5F-EC4F-A04E-8E82-54068D4D2E3B}" destId="{FB7CD394-5680-2D41-A67E-B4602268E13D}" srcOrd="0" destOrd="0" presId="urn:microsoft.com/office/officeart/2005/8/layout/chevron2"/>
    <dgm:cxn modelId="{409AFE4F-2324-874F-86CD-3F082DF5947A}" type="presParOf" srcId="{8E579B5F-EC4F-A04E-8E82-54068D4D2E3B}" destId="{22F7B247-EE4E-0045-818F-5783A25680C6}" srcOrd="1" destOrd="0" presId="urn:microsoft.com/office/officeart/2005/8/layout/chevron2"/>
    <dgm:cxn modelId="{FADBCE35-F911-C349-9328-FD8FA14C78E7}" type="presParOf" srcId="{44D02060-CFD7-B948-B6D8-E6AB0E166AE0}" destId="{04D7C893-A348-854C-A3EA-B9FFDA956D1C}" srcOrd="7" destOrd="0" presId="urn:microsoft.com/office/officeart/2005/8/layout/chevron2"/>
    <dgm:cxn modelId="{D5064C06-0B78-6646-AF16-D87C11110BE0}" type="presParOf" srcId="{44D02060-CFD7-B948-B6D8-E6AB0E166AE0}" destId="{34557DAC-8080-9D47-9DB4-B12221CA9C96}" srcOrd="8" destOrd="0" presId="urn:microsoft.com/office/officeart/2005/8/layout/chevron2"/>
    <dgm:cxn modelId="{D6D46E74-7B84-014A-8BFD-C9BF057B42C3}" type="presParOf" srcId="{34557DAC-8080-9D47-9DB4-B12221CA9C96}" destId="{D973094A-3B31-494E-AC74-364F4004D044}" srcOrd="0" destOrd="0" presId="urn:microsoft.com/office/officeart/2005/8/layout/chevron2"/>
    <dgm:cxn modelId="{098038DF-C4A1-784D-87D2-8A4455526F88}" type="presParOf" srcId="{34557DAC-8080-9D47-9DB4-B12221CA9C96}" destId="{9A8019F7-AD91-3949-BF1E-B0F09D5C1A5C}" srcOrd="1" destOrd="0" presId="urn:microsoft.com/office/officeart/2005/8/layout/chevron2"/>
    <dgm:cxn modelId="{2674AB89-2025-8F45-B126-5E66E561567E}" type="presParOf" srcId="{44D02060-CFD7-B948-B6D8-E6AB0E166AE0}" destId="{5A1223C6-B8B2-4E46-BEC2-11D5F343FE79}" srcOrd="9" destOrd="0" presId="urn:microsoft.com/office/officeart/2005/8/layout/chevron2"/>
    <dgm:cxn modelId="{2E7C6664-0D70-564D-A9B3-A0F3112372C8}" type="presParOf" srcId="{44D02060-CFD7-B948-B6D8-E6AB0E166AE0}" destId="{88B634D9-E961-4D40-ADE7-C8494DFDEA63}" srcOrd="10" destOrd="0" presId="urn:microsoft.com/office/officeart/2005/8/layout/chevron2"/>
    <dgm:cxn modelId="{1528401E-FAC9-8B4C-9741-A39135BFAEB2}" type="presParOf" srcId="{88B634D9-E961-4D40-ADE7-C8494DFDEA63}" destId="{5B4CE5B7-46B2-F447-9264-7263015D2C3E}" srcOrd="0" destOrd="0" presId="urn:microsoft.com/office/officeart/2005/8/layout/chevron2"/>
    <dgm:cxn modelId="{FD7A24CD-F51B-9248-9A33-510E5EAF1EC0}" type="presParOf" srcId="{88B634D9-E961-4D40-ADE7-C8494DFDEA63}" destId="{7415E7E3-99EF-0142-9D08-04FFB9B3081B}" srcOrd="1" destOrd="0" presId="urn:microsoft.com/office/officeart/2005/8/layout/chevron2"/>
    <dgm:cxn modelId="{BD20E4D0-C51B-684E-BFB3-457B97577956}" type="presParOf" srcId="{44D02060-CFD7-B948-B6D8-E6AB0E166AE0}" destId="{01E4C41A-00CE-534E-8FEC-C5968210E676}" srcOrd="11" destOrd="0" presId="urn:microsoft.com/office/officeart/2005/8/layout/chevron2"/>
    <dgm:cxn modelId="{4FE2D740-CE4C-4642-9402-E0FF4B982953}" type="presParOf" srcId="{44D02060-CFD7-B948-B6D8-E6AB0E166AE0}" destId="{4B85E558-411F-384A-86C3-536541028E44}" srcOrd="12" destOrd="0" presId="urn:microsoft.com/office/officeart/2005/8/layout/chevron2"/>
    <dgm:cxn modelId="{FAC66E43-E116-F345-A9B2-0B32138A47FA}" type="presParOf" srcId="{4B85E558-411F-384A-86C3-536541028E44}" destId="{CF118F01-D097-A042-B0A2-E4C7E173701C}" srcOrd="0" destOrd="0" presId="urn:microsoft.com/office/officeart/2005/8/layout/chevron2"/>
    <dgm:cxn modelId="{096DC2D3-6273-DE42-BFAD-78E32B352ED6}" type="presParOf" srcId="{4B85E558-411F-384A-86C3-536541028E44}" destId="{36E74988-709D-044A-A791-FD51CE316462}" srcOrd="1" destOrd="0" presId="urn:microsoft.com/office/officeart/2005/8/layout/chevron2"/>
    <dgm:cxn modelId="{243F73D1-8EEF-C946-A93E-ABA686819988}" type="presParOf" srcId="{44D02060-CFD7-B948-B6D8-E6AB0E166AE0}" destId="{670D324A-6ADD-6349-A130-2946F70A274C}" srcOrd="13" destOrd="0" presId="urn:microsoft.com/office/officeart/2005/8/layout/chevron2"/>
    <dgm:cxn modelId="{FCB0798A-FB78-984F-819F-352B4439B7E6}" type="presParOf" srcId="{44D02060-CFD7-B948-B6D8-E6AB0E166AE0}" destId="{C4BF5B22-2EA7-F645-AB0B-F2F152D205B1}" srcOrd="14" destOrd="0" presId="urn:microsoft.com/office/officeart/2005/8/layout/chevron2"/>
    <dgm:cxn modelId="{85ECB014-8263-CC47-AE02-B5E59B7ACA30}" type="presParOf" srcId="{C4BF5B22-2EA7-F645-AB0B-F2F152D205B1}" destId="{80F0A11A-E23B-054B-988C-046EFE84E297}" srcOrd="0" destOrd="0" presId="urn:microsoft.com/office/officeart/2005/8/layout/chevron2"/>
    <dgm:cxn modelId="{C246295D-537E-A445-B6E4-BD6724841628}" type="presParOf" srcId="{C4BF5B22-2EA7-F645-AB0B-F2F152D205B1}" destId="{D4E27C60-5E39-7949-8249-462FD9262DDD}" srcOrd="1" destOrd="0" presId="urn:microsoft.com/office/officeart/2005/8/layout/chevron2"/>
    <dgm:cxn modelId="{BEF28B0F-E7BB-A84F-A17A-DEBE2FEA1C91}" type="presParOf" srcId="{44D02060-CFD7-B948-B6D8-E6AB0E166AE0}" destId="{13F9B998-A5B2-7F46-8E36-A38A210FF73E}" srcOrd="15" destOrd="0" presId="urn:microsoft.com/office/officeart/2005/8/layout/chevron2"/>
    <dgm:cxn modelId="{1B827162-D483-6E4E-9D0C-999FFEA26188}" type="presParOf" srcId="{44D02060-CFD7-B948-B6D8-E6AB0E166AE0}" destId="{FF2535DA-B760-B44D-BF42-7F781A248652}" srcOrd="16" destOrd="0" presId="urn:microsoft.com/office/officeart/2005/8/layout/chevron2"/>
    <dgm:cxn modelId="{5AB822E4-FF1C-C34C-88A2-7F9BD99A4899}" type="presParOf" srcId="{FF2535DA-B760-B44D-BF42-7F781A248652}" destId="{4E35397A-EC4F-D049-A8EB-D8AA2209DF73}" srcOrd="0" destOrd="0" presId="urn:microsoft.com/office/officeart/2005/8/layout/chevron2"/>
    <dgm:cxn modelId="{611DAC4B-0E9A-8E49-819B-D5219E95AAC8}" type="presParOf" srcId="{FF2535DA-B760-B44D-BF42-7F781A248652}" destId="{908E36E6-53A4-9443-A4BF-A3881C0FD3BB}" srcOrd="1" destOrd="0" presId="urn:microsoft.com/office/officeart/2005/8/layout/chevron2"/>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21D5D0E-E13F-C449-B257-C28DEB42D740}" type="doc">
      <dgm:prSet loTypeId="urn:microsoft.com/office/officeart/2005/8/layout/chevron2" loCatId="" qsTypeId="urn:microsoft.com/office/officeart/2005/8/quickstyle/simple1" qsCatId="simple" csTypeId="urn:microsoft.com/office/officeart/2005/8/colors/accent1_2" csCatId="accent1" phldr="1"/>
      <dgm:spPr/>
      <dgm:t>
        <a:bodyPr/>
        <a:lstStyle/>
        <a:p>
          <a:endParaRPr lang="pt-PT"/>
        </a:p>
      </dgm:t>
    </dgm:pt>
    <dgm:pt modelId="{5C10EE74-9B57-8646-980D-F2311E7204EF}">
      <dgm:prSet phldrT="[Texto]" custT="1"/>
      <dgm:spPr>
        <a:xfrm rot="5400000">
          <a:off x="-178461" y="186010"/>
          <a:ext cx="1189740" cy="832818"/>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buNone/>
          </a:pPr>
          <a:r>
            <a:rPr lang="es-MX" sz="600">
              <a:solidFill>
                <a:sysClr val="window" lastClr="FFFFFF"/>
              </a:solidFill>
              <a:latin typeface="Calibri"/>
              <a:ea typeface="+mn-ea"/>
              <a:cs typeface="+mn-cs"/>
            </a:rPr>
            <a:t>PASO 1: Orientaciones</a:t>
          </a:r>
        </a:p>
      </dgm:t>
    </dgm:pt>
    <dgm:pt modelId="{A52CD551-6359-D646-AED8-81666897F7F3}" type="parTrans" cxnId="{AFAECAEB-6B38-2847-9AC6-C027BA0786BB}">
      <dgm:prSet/>
      <dgm:spPr/>
      <dgm:t>
        <a:bodyPr/>
        <a:lstStyle/>
        <a:p>
          <a:endParaRPr lang="pt-PT"/>
        </a:p>
      </dgm:t>
    </dgm:pt>
    <dgm:pt modelId="{78BCF3A2-1256-204E-8905-1DC3E50D514E}" type="sibTrans" cxnId="{AFAECAEB-6B38-2847-9AC6-C027BA0786BB}">
      <dgm:prSet/>
      <dgm:spPr/>
      <dgm:t>
        <a:bodyPr/>
        <a:lstStyle/>
        <a:p>
          <a:endParaRPr lang="pt-PT"/>
        </a:p>
      </dgm:t>
    </dgm:pt>
    <dgm:pt modelId="{7304C0D8-DEB1-2743-BC89-56C376C235EE}">
      <dgm:prSet phldrT="[Texto]" custT="1"/>
      <dgm:spPr>
        <a:xfrm rot="5400000">
          <a:off x="1999196" y="-1158828"/>
          <a:ext cx="773331" cy="3106086"/>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es-MX" sz="600">
              <a:solidFill>
                <a:sysClr val="windowText" lastClr="000000">
                  <a:hueOff val="0"/>
                  <a:satOff val="0"/>
                  <a:lumOff val="0"/>
                  <a:alphaOff val="0"/>
                </a:sysClr>
              </a:solidFill>
              <a:latin typeface="Calibri"/>
              <a:ea typeface="+mn-ea"/>
              <a:cs typeface="+mn-cs"/>
            </a:rPr>
            <a:t>Examinar las orientaciones ya preparadas relativas al período de predicción D+0 a D+3.</a:t>
          </a:r>
        </a:p>
      </dgm:t>
    </dgm:pt>
    <dgm:pt modelId="{15D0FA5A-E74D-8B43-AB39-0B96C835490B}" type="parTrans" cxnId="{6C4FF31F-407F-3842-BAA1-95851477D857}">
      <dgm:prSet/>
      <dgm:spPr/>
      <dgm:t>
        <a:bodyPr/>
        <a:lstStyle/>
        <a:p>
          <a:endParaRPr lang="pt-PT"/>
        </a:p>
      </dgm:t>
    </dgm:pt>
    <dgm:pt modelId="{0FC7FD92-4E66-FF40-B439-36F195E5557D}" type="sibTrans" cxnId="{6C4FF31F-407F-3842-BAA1-95851477D857}">
      <dgm:prSet/>
      <dgm:spPr/>
      <dgm:t>
        <a:bodyPr/>
        <a:lstStyle/>
        <a:p>
          <a:endParaRPr lang="pt-PT"/>
        </a:p>
      </dgm:t>
    </dgm:pt>
    <dgm:pt modelId="{07528A0F-A8BA-A94D-80F6-1F175E226852}">
      <dgm:prSet phldrT="[Texto]" custT="1"/>
      <dgm:spPr>
        <a:xfrm rot="5400000">
          <a:off x="-178461" y="1240916"/>
          <a:ext cx="1189740" cy="832818"/>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buNone/>
          </a:pPr>
          <a:r>
            <a:rPr lang="es-MX" sz="600">
              <a:solidFill>
                <a:sysClr val="window" lastClr="FFFFFF"/>
              </a:solidFill>
              <a:latin typeface="Calibri"/>
              <a:ea typeface="+mn-ea"/>
              <a:cs typeface="+mn-cs"/>
            </a:rPr>
            <a:t>PASO 2: Predicción numérica del tiempo determinística</a:t>
          </a:r>
        </a:p>
      </dgm:t>
    </dgm:pt>
    <dgm:pt modelId="{0268C1BC-8CD4-D34D-B725-40A9C1218F5D}" type="parTrans" cxnId="{162683EC-BCE1-ED49-AD0B-33E3CF691738}">
      <dgm:prSet/>
      <dgm:spPr/>
      <dgm:t>
        <a:bodyPr/>
        <a:lstStyle/>
        <a:p>
          <a:endParaRPr lang="pt-PT"/>
        </a:p>
      </dgm:t>
    </dgm:pt>
    <dgm:pt modelId="{622B205B-59D3-9D49-B8B0-0B3A2A34EC0B}" type="sibTrans" cxnId="{162683EC-BCE1-ED49-AD0B-33E3CF691738}">
      <dgm:prSet/>
      <dgm:spPr/>
      <dgm:t>
        <a:bodyPr/>
        <a:lstStyle/>
        <a:p>
          <a:endParaRPr lang="pt-PT"/>
        </a:p>
      </dgm:t>
    </dgm:pt>
    <dgm:pt modelId="{2DE96918-62BA-7A46-B312-FDA0AD179EB7}">
      <dgm:prSet phldrT="[Texto]" custT="1"/>
      <dgm:spPr>
        <a:xfrm rot="5400000">
          <a:off x="-178461" y="2295822"/>
          <a:ext cx="1189740" cy="832818"/>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buNone/>
          </a:pPr>
          <a:r>
            <a:rPr lang="es-MX" sz="600">
              <a:solidFill>
                <a:sysClr val="window" lastClr="FFFFFF"/>
              </a:solidFill>
              <a:latin typeface="Calibri"/>
              <a:ea typeface="+mn-ea"/>
              <a:cs typeface="+mn-cs"/>
            </a:rPr>
            <a:t>PASO 3: Predicción numérica del tiempo por conjuntos</a:t>
          </a:r>
        </a:p>
      </dgm:t>
    </dgm:pt>
    <dgm:pt modelId="{3FA17D6A-B24A-D54C-92C0-7217A40401AF}" type="parTrans" cxnId="{F12A0146-16EA-D445-8723-114810600417}">
      <dgm:prSet/>
      <dgm:spPr/>
      <dgm:t>
        <a:bodyPr/>
        <a:lstStyle/>
        <a:p>
          <a:endParaRPr lang="pt-PT"/>
        </a:p>
      </dgm:t>
    </dgm:pt>
    <dgm:pt modelId="{18DB70DA-0877-B149-BB81-B7557209D488}" type="sibTrans" cxnId="{F12A0146-16EA-D445-8723-114810600417}">
      <dgm:prSet/>
      <dgm:spPr/>
      <dgm:t>
        <a:bodyPr/>
        <a:lstStyle/>
        <a:p>
          <a:endParaRPr lang="pt-PT"/>
        </a:p>
      </dgm:t>
    </dgm:pt>
    <dgm:pt modelId="{C3291333-15A1-A54D-B187-E8C4570F81AC}">
      <dgm:prSet phldrT="[Texto]" custT="1"/>
      <dgm:spPr>
        <a:xfrm rot="5400000">
          <a:off x="-178461" y="4405634"/>
          <a:ext cx="1189740" cy="832818"/>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buNone/>
          </a:pPr>
          <a:r>
            <a:rPr lang="es-MX" sz="600">
              <a:solidFill>
                <a:sysClr val="window" lastClr="FFFFFF"/>
              </a:solidFill>
              <a:latin typeface="Calibri"/>
              <a:ea typeface="+mn-ea"/>
              <a:cs typeface="+mn-cs"/>
            </a:rPr>
            <a:t>PASO 5: Orientaciones internas</a:t>
          </a:r>
        </a:p>
      </dgm:t>
    </dgm:pt>
    <dgm:pt modelId="{3E4837C1-701A-B445-AC1E-269C2DB8CDB0}" type="parTrans" cxnId="{FE0E9E6D-B9B7-2344-88E4-C31273A181B8}">
      <dgm:prSet/>
      <dgm:spPr/>
      <dgm:t>
        <a:bodyPr/>
        <a:lstStyle/>
        <a:p>
          <a:endParaRPr lang="pt-PT"/>
        </a:p>
      </dgm:t>
    </dgm:pt>
    <dgm:pt modelId="{4768012F-77C7-BA47-9CFB-11D016FCEF94}" type="sibTrans" cxnId="{FE0E9E6D-B9B7-2344-88E4-C31273A181B8}">
      <dgm:prSet/>
      <dgm:spPr/>
      <dgm:t>
        <a:bodyPr/>
        <a:lstStyle/>
        <a:p>
          <a:endParaRPr lang="pt-PT"/>
        </a:p>
      </dgm:t>
    </dgm:pt>
    <dgm:pt modelId="{69C07F8A-8115-304A-AC9F-F0C4CD8D71DA}">
      <dgm:prSet phldrT="[Texto]" custT="1"/>
      <dgm:spPr>
        <a:xfrm rot="5400000">
          <a:off x="-178461" y="5460540"/>
          <a:ext cx="1189740" cy="832818"/>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buNone/>
          </a:pPr>
          <a:r>
            <a:rPr lang="es-MX" sz="600">
              <a:solidFill>
                <a:sysClr val="window" lastClr="FFFFFF"/>
              </a:solidFill>
              <a:latin typeface="Calibri"/>
              <a:ea typeface="+mn-ea"/>
              <a:cs typeface="+mn-cs"/>
            </a:rPr>
            <a:t>PASO 6: Predicción</a:t>
          </a:r>
        </a:p>
      </dgm:t>
    </dgm:pt>
    <dgm:pt modelId="{18A2C1CD-6F00-CC48-9D9A-E5195BB1AEE8}" type="parTrans" cxnId="{1197C8AE-113A-A146-9DDC-6D0EC769708E}">
      <dgm:prSet/>
      <dgm:spPr/>
      <dgm:t>
        <a:bodyPr/>
        <a:lstStyle/>
        <a:p>
          <a:endParaRPr lang="pt-PT"/>
        </a:p>
      </dgm:t>
    </dgm:pt>
    <dgm:pt modelId="{3168C3BE-67FB-AD4D-9442-51F8F88BB974}" type="sibTrans" cxnId="{1197C8AE-113A-A146-9DDC-6D0EC769708E}">
      <dgm:prSet/>
      <dgm:spPr/>
      <dgm:t>
        <a:bodyPr/>
        <a:lstStyle/>
        <a:p>
          <a:endParaRPr lang="pt-PT"/>
        </a:p>
      </dgm:t>
    </dgm:pt>
    <dgm:pt modelId="{ED194657-9DF7-7C4F-BBF9-E6E8AD035887}">
      <dgm:prSet phldrT="[Texto]" custT="1"/>
      <dgm:spPr>
        <a:xfrm rot="5400000">
          <a:off x="-178461" y="6515445"/>
          <a:ext cx="1189740" cy="832818"/>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buNone/>
          </a:pPr>
          <a:r>
            <a:rPr lang="es-MX" sz="600">
              <a:solidFill>
                <a:sysClr val="window" lastClr="FFFFFF"/>
              </a:solidFill>
              <a:latin typeface="Calibri"/>
              <a:ea typeface="+mn-ea"/>
              <a:cs typeface="+mn-cs"/>
            </a:rPr>
            <a:t>PASO 7: Actualización</a:t>
          </a:r>
        </a:p>
      </dgm:t>
    </dgm:pt>
    <dgm:pt modelId="{58A34DDC-77D6-0949-97FC-B15FEFA57AA6}" type="parTrans" cxnId="{31AAD696-E50E-7549-BA00-97DE10C404F7}">
      <dgm:prSet/>
      <dgm:spPr/>
      <dgm:t>
        <a:bodyPr/>
        <a:lstStyle/>
        <a:p>
          <a:endParaRPr lang="pt-PT"/>
        </a:p>
      </dgm:t>
    </dgm:pt>
    <dgm:pt modelId="{17BE53B8-5F37-204A-B9DF-C7F935946D4F}" type="sibTrans" cxnId="{31AAD696-E50E-7549-BA00-97DE10C404F7}">
      <dgm:prSet/>
      <dgm:spPr/>
      <dgm:t>
        <a:bodyPr/>
        <a:lstStyle/>
        <a:p>
          <a:endParaRPr lang="pt-PT"/>
        </a:p>
      </dgm:t>
    </dgm:pt>
    <dgm:pt modelId="{B148858E-5CF3-8241-806F-71C5C3689B13}">
      <dgm:prSet phldrT="[Texto]" custT="1"/>
      <dgm:spPr>
        <a:xfrm rot="5400000">
          <a:off x="1999196" y="-103922"/>
          <a:ext cx="773331" cy="3106086"/>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es-MX" sz="600">
              <a:solidFill>
                <a:sysClr val="windowText" lastClr="000000">
                  <a:hueOff val="0"/>
                  <a:satOff val="0"/>
                  <a:lumOff val="0"/>
                  <a:alphaOff val="0"/>
                </a:sysClr>
              </a:solidFill>
              <a:latin typeface="Calibri"/>
              <a:ea typeface="+mn-ea"/>
              <a:cs typeface="+mn-cs"/>
            </a:rPr>
            <a:t>Examinar la evolución sinóptica que aparece en la predicción numérica del tiempo a escala mundial </a:t>
          </a:r>
          <a:r>
            <a:rPr lang="es-MX" sz="600" i="1">
              <a:solidFill>
                <a:sysClr val="windowText" lastClr="000000">
                  <a:hueOff val="0"/>
                  <a:satOff val="0"/>
                  <a:lumOff val="0"/>
                  <a:alphaOff val="0"/>
                </a:sysClr>
              </a:solidFill>
              <a:latin typeface="Calibri"/>
              <a:ea typeface="+mn-ea"/>
              <a:cs typeface="+mn-cs"/>
            </a:rPr>
            <a:t>(Nota: esto incluye los productos de los CMM y los CMRE que se ocupan de la predicción numérica del tiempo determinística a escala mundial; al consultar al Centro Principal que se encarga de la verificación de la predicción numérica del tiempo determinística, los pronosticadores se hacen una idea del desempeño de los modelos según la época del año).</a:t>
          </a:r>
          <a:r>
            <a:rPr lang="es-MX" sz="600">
              <a:solidFill>
                <a:sysClr val="windowText" lastClr="000000">
                  <a:hueOff val="0"/>
                  <a:satOff val="0"/>
                  <a:lumOff val="0"/>
                  <a:alphaOff val="0"/>
                </a:sysClr>
              </a:solidFill>
              <a:latin typeface="Calibri"/>
              <a:ea typeface="+mn-ea"/>
              <a:cs typeface="+mn-cs"/>
            </a:rPr>
            <a:t>  </a:t>
          </a:r>
        </a:p>
      </dgm:t>
    </dgm:pt>
    <dgm:pt modelId="{27623A01-A45F-AE43-BE90-996094956984}" type="parTrans" cxnId="{CD567CF0-B8AB-A94D-866A-2E767EFB59F6}">
      <dgm:prSet/>
      <dgm:spPr/>
      <dgm:t>
        <a:bodyPr/>
        <a:lstStyle/>
        <a:p>
          <a:endParaRPr lang="pt-PT"/>
        </a:p>
      </dgm:t>
    </dgm:pt>
    <dgm:pt modelId="{A529AE84-AE39-5949-B42A-F121DF150D7A}" type="sibTrans" cxnId="{CD567CF0-B8AB-A94D-866A-2E767EFB59F6}">
      <dgm:prSet/>
      <dgm:spPr/>
      <dgm:t>
        <a:bodyPr/>
        <a:lstStyle/>
        <a:p>
          <a:endParaRPr lang="pt-PT"/>
        </a:p>
      </dgm:t>
    </dgm:pt>
    <dgm:pt modelId="{F8C8D8A4-75A6-7D41-AA62-2450A1F981AD}">
      <dgm:prSet phldrT="[Texto]" custT="1"/>
      <dgm:spPr>
        <a:xfrm rot="5400000">
          <a:off x="1999196" y="950983"/>
          <a:ext cx="773331" cy="3106086"/>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es-MX" sz="600">
              <a:solidFill>
                <a:sysClr val="windowText" lastClr="000000">
                  <a:hueOff val="0"/>
                  <a:satOff val="0"/>
                  <a:lumOff val="0"/>
                  <a:alphaOff val="0"/>
                </a:sysClr>
              </a:solidFill>
              <a:latin typeface="Calibri"/>
              <a:ea typeface="+mn-ea"/>
              <a:cs typeface="+mn-cs"/>
            </a:rPr>
            <a:t>Examinar los productos de la predicción numérica del tiempo por conjuntos a escala mundial para determinar la coincidencia entre las medias de los conjuntos y la predicción numérica del tiempo determinística. Observar si la predicción determinística se desvía de la media de los conjuntos.  </a:t>
          </a:r>
          <a:r>
            <a:rPr lang="es-MX" sz="600" i="1">
              <a:solidFill>
                <a:sysClr val="windowText" lastClr="000000">
                  <a:hueOff val="0"/>
                  <a:satOff val="0"/>
                  <a:lumOff val="0"/>
                  <a:alphaOff val="0"/>
                </a:sysClr>
              </a:solidFill>
              <a:latin typeface="Calibri"/>
              <a:ea typeface="+mn-ea"/>
              <a:cs typeface="+mn-cs"/>
            </a:rPr>
            <a:t>(Nota: esto incluye los productos de los CMM y los CMRE que se ocupan de la predicción numérica del tiempo por conjuntos a escala mundial y de la predicción de fenómenos meteorológicos adversos a escala regional).</a:t>
          </a:r>
          <a:r>
            <a:rPr lang="es-MX" sz="600">
              <a:solidFill>
                <a:sysClr val="windowText" lastClr="000000">
                  <a:hueOff val="0"/>
                  <a:satOff val="0"/>
                  <a:lumOff val="0"/>
                  <a:alphaOff val="0"/>
                </a:sysClr>
              </a:solidFill>
              <a:latin typeface="Calibri"/>
              <a:ea typeface="+mn-ea"/>
              <a:cs typeface="+mn-cs"/>
            </a:rPr>
            <a:t> </a:t>
          </a:r>
        </a:p>
      </dgm:t>
    </dgm:pt>
    <dgm:pt modelId="{0AF24FCA-1A04-D040-8812-F5C3CBA623E7}" type="parTrans" cxnId="{821BC5A5-96AA-4D41-9A87-A0998A4B166C}">
      <dgm:prSet/>
      <dgm:spPr/>
      <dgm:t>
        <a:bodyPr/>
        <a:lstStyle/>
        <a:p>
          <a:endParaRPr lang="pt-PT"/>
        </a:p>
      </dgm:t>
    </dgm:pt>
    <dgm:pt modelId="{F5FEB0D5-61C3-F64C-BEA7-351F9E3DEB33}" type="sibTrans" cxnId="{821BC5A5-96AA-4D41-9A87-A0998A4B166C}">
      <dgm:prSet/>
      <dgm:spPr/>
      <dgm:t>
        <a:bodyPr/>
        <a:lstStyle/>
        <a:p>
          <a:endParaRPr lang="pt-PT"/>
        </a:p>
      </dgm:t>
    </dgm:pt>
    <dgm:pt modelId="{D19B7FDC-F733-0C48-9CF8-C7B380A14002}">
      <dgm:prSet phldrT="[Texto]" custT="1"/>
      <dgm:spPr>
        <a:xfrm rot="5400000">
          <a:off x="1999196" y="3060795"/>
          <a:ext cx="773331" cy="3106086"/>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es-MX" sz="600">
              <a:solidFill>
                <a:sysClr val="windowText" lastClr="000000">
                  <a:hueOff val="0"/>
                  <a:satOff val="0"/>
                  <a:lumOff val="0"/>
                  <a:alphaOff val="0"/>
                </a:sysClr>
              </a:solidFill>
              <a:latin typeface="Calibri"/>
              <a:ea typeface="+mn-ea"/>
              <a:cs typeface="+mn-cs"/>
            </a:rPr>
            <a:t>Preparar un texto breve en que se resuma la predicción consensuada (puede expresarse de forma técnica, ya que es solo para uso interno). Hacer comentarios sobre la temperatura, el viento, el tiempo y otros. </a:t>
          </a:r>
        </a:p>
      </dgm:t>
    </dgm:pt>
    <dgm:pt modelId="{D5EA26EF-938B-754D-BCDB-679EDD9BF769}" type="parTrans" cxnId="{0BF9BB24-F760-7240-AA0E-80D2CC6D5A59}">
      <dgm:prSet/>
      <dgm:spPr/>
      <dgm:t>
        <a:bodyPr/>
        <a:lstStyle/>
        <a:p>
          <a:endParaRPr lang="pt-PT"/>
        </a:p>
      </dgm:t>
    </dgm:pt>
    <dgm:pt modelId="{16732066-BAB4-8F45-99DA-0799E11A3CD3}" type="sibTrans" cxnId="{0BF9BB24-F760-7240-AA0E-80D2CC6D5A59}">
      <dgm:prSet/>
      <dgm:spPr/>
      <dgm:t>
        <a:bodyPr/>
        <a:lstStyle/>
        <a:p>
          <a:endParaRPr lang="pt-PT"/>
        </a:p>
      </dgm:t>
    </dgm:pt>
    <dgm:pt modelId="{28D2AEAC-EE81-DA4D-B0C6-1F502830834A}">
      <dgm:prSet phldrT="[Texto]" custT="1"/>
      <dgm:spPr>
        <a:xfrm rot="5400000">
          <a:off x="1999196" y="4115701"/>
          <a:ext cx="773331" cy="3106086"/>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es-MX" sz="600">
              <a:solidFill>
                <a:sysClr val="windowText" lastClr="000000">
                  <a:hueOff val="0"/>
                  <a:satOff val="0"/>
                  <a:lumOff val="0"/>
                  <a:alphaOff val="0"/>
                </a:sysClr>
              </a:solidFill>
              <a:latin typeface="Calibri"/>
              <a:ea typeface="+mn-ea"/>
              <a:cs typeface="+mn-cs"/>
            </a:rPr>
            <a:t>Preparar el texto de la predicción, las predicciones relativas a lugares concretos y otros productos sobre la base del documento de orientaciones descrito anteriormente. Al utilizar meteogramas, tener cuidado con los lugares costeros (campo tierra/mar) y la altitud del modelo.</a:t>
          </a:r>
        </a:p>
      </dgm:t>
    </dgm:pt>
    <dgm:pt modelId="{A9CFEB2D-DB61-EC42-89B6-1D3DA969C6A9}" type="parTrans" cxnId="{7B0107F9-40AE-C345-AAA8-1E22098DDE8E}">
      <dgm:prSet/>
      <dgm:spPr/>
      <dgm:t>
        <a:bodyPr/>
        <a:lstStyle/>
        <a:p>
          <a:endParaRPr lang="pt-PT"/>
        </a:p>
      </dgm:t>
    </dgm:pt>
    <dgm:pt modelId="{AAEAF14F-D845-4B46-8128-A155E6BEB517}" type="sibTrans" cxnId="{7B0107F9-40AE-C345-AAA8-1E22098DDE8E}">
      <dgm:prSet/>
      <dgm:spPr/>
      <dgm:t>
        <a:bodyPr/>
        <a:lstStyle/>
        <a:p>
          <a:endParaRPr lang="pt-PT"/>
        </a:p>
      </dgm:t>
    </dgm:pt>
    <dgm:pt modelId="{132B135B-D8EB-6644-B17D-9301DC413054}">
      <dgm:prSet phldrT="[Texto]" custT="1"/>
      <dgm:spPr>
        <a:xfrm rot="5400000">
          <a:off x="1999196" y="5170607"/>
          <a:ext cx="773331" cy="3106086"/>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es-MX" sz="600">
              <a:solidFill>
                <a:sysClr val="windowText" lastClr="000000">
                  <a:hueOff val="0"/>
                  <a:satOff val="0"/>
                  <a:lumOff val="0"/>
                  <a:alphaOff val="0"/>
                </a:sysClr>
              </a:solidFill>
              <a:latin typeface="Calibri"/>
              <a:ea typeface="+mn-ea"/>
              <a:cs typeface="+mn-cs"/>
            </a:rPr>
            <a:t>Actualizar la predicción a diario.</a:t>
          </a:r>
        </a:p>
      </dgm:t>
    </dgm:pt>
    <dgm:pt modelId="{11733EC7-80A8-0E4E-B41E-35A54F647B8A}" type="parTrans" cxnId="{91F6616C-D30B-7149-9ED3-93DEEAFD55FE}">
      <dgm:prSet/>
      <dgm:spPr/>
      <dgm:t>
        <a:bodyPr/>
        <a:lstStyle/>
        <a:p>
          <a:endParaRPr lang="pt-PT"/>
        </a:p>
      </dgm:t>
    </dgm:pt>
    <dgm:pt modelId="{3CD64D8E-3BA3-594E-98B2-227ED6F22042}" type="sibTrans" cxnId="{91F6616C-D30B-7149-9ED3-93DEEAFD55FE}">
      <dgm:prSet/>
      <dgm:spPr/>
      <dgm:t>
        <a:bodyPr/>
        <a:lstStyle/>
        <a:p>
          <a:endParaRPr lang="pt-PT"/>
        </a:p>
      </dgm:t>
    </dgm:pt>
    <dgm:pt modelId="{AEB68DD2-B330-9B41-A725-78F83520E1F1}">
      <dgm:prSet phldrT="[Texto]" custT="1"/>
      <dgm:spPr>
        <a:xfrm rot="5400000">
          <a:off x="1999196" y="950983"/>
          <a:ext cx="773331" cy="3106086"/>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es-MX" sz="600">
              <a:solidFill>
                <a:sysClr val="windowText" lastClr="000000">
                  <a:hueOff val="0"/>
                  <a:satOff val="0"/>
                  <a:lumOff val="0"/>
                  <a:alphaOff val="0"/>
                </a:sysClr>
              </a:solidFill>
              <a:latin typeface="Calibri"/>
              <a:ea typeface="+mn-ea"/>
              <a:cs typeface="+mn-cs"/>
            </a:rPr>
            <a:t>Examinar los meteogramas prestando especial atención tanto a la media de las predicciones como a los datos anómalos.  </a:t>
          </a:r>
          <a:r>
            <a:rPr lang="es-MX" sz="600" i="1">
              <a:solidFill>
                <a:sysClr val="windowText" lastClr="000000">
                  <a:hueOff val="0"/>
                  <a:satOff val="0"/>
                  <a:lumOff val="0"/>
                  <a:alphaOff val="0"/>
                </a:sysClr>
              </a:solidFill>
              <a:latin typeface="Calibri"/>
              <a:ea typeface="+mn-ea"/>
              <a:cs typeface="+mn-cs"/>
            </a:rPr>
            <a:t>(Nota: esto incluye los productos de los CMRE que se ocupan de la predicción de fenómenos meteorológicos adversos a escala regional).</a:t>
          </a:r>
        </a:p>
      </dgm:t>
    </dgm:pt>
    <dgm:pt modelId="{BF982A2D-F9FD-2C49-BCFB-3ABCA4C6BB82}" type="parTrans" cxnId="{1F9DD670-9990-4B40-9CB4-70F7BE727D2B}">
      <dgm:prSet/>
      <dgm:spPr/>
      <dgm:t>
        <a:bodyPr/>
        <a:lstStyle/>
        <a:p>
          <a:endParaRPr lang="pt-PT"/>
        </a:p>
      </dgm:t>
    </dgm:pt>
    <dgm:pt modelId="{E5625E89-C184-FD4E-8142-82DA142CBF82}" type="sibTrans" cxnId="{1F9DD670-9990-4B40-9CB4-70F7BE727D2B}">
      <dgm:prSet/>
      <dgm:spPr/>
      <dgm:t>
        <a:bodyPr/>
        <a:lstStyle/>
        <a:p>
          <a:endParaRPr lang="pt-PT"/>
        </a:p>
      </dgm:t>
    </dgm:pt>
    <dgm:pt modelId="{BEEF2949-3A4E-0C4D-BC8D-8DEB658C1DB1}">
      <dgm:prSet phldrT="[Texto]" custT="1"/>
      <dgm:spPr>
        <a:xfrm rot="5400000">
          <a:off x="-178461" y="3350728"/>
          <a:ext cx="1189740" cy="832818"/>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buNone/>
          </a:pPr>
          <a:r>
            <a:rPr lang="es-MX" sz="600">
              <a:solidFill>
                <a:sysClr val="window" lastClr="FFFFFF"/>
              </a:solidFill>
              <a:latin typeface="Calibri"/>
              <a:ea typeface="+mn-ea"/>
              <a:cs typeface="+mn-cs"/>
            </a:rPr>
            <a:t>PASO 4: ¿Condiciones adversas?</a:t>
          </a:r>
        </a:p>
      </dgm:t>
    </dgm:pt>
    <dgm:pt modelId="{F0CD0BCA-29B6-4144-8355-323EBCA11840}" type="parTrans" cxnId="{081954AE-70C3-834F-AB72-26F17919C866}">
      <dgm:prSet/>
      <dgm:spPr/>
      <dgm:t>
        <a:bodyPr/>
        <a:lstStyle/>
        <a:p>
          <a:endParaRPr lang="pt-PT"/>
        </a:p>
      </dgm:t>
    </dgm:pt>
    <dgm:pt modelId="{73AA9358-2018-DC43-A2C2-651E623178BB}" type="sibTrans" cxnId="{081954AE-70C3-834F-AB72-26F17919C866}">
      <dgm:prSet/>
      <dgm:spPr/>
      <dgm:t>
        <a:bodyPr/>
        <a:lstStyle/>
        <a:p>
          <a:endParaRPr lang="pt-PT"/>
        </a:p>
      </dgm:t>
    </dgm:pt>
    <dgm:pt modelId="{A5959275-4689-F74E-A43C-7900B5EB5FB2}">
      <dgm:prSet phldrT="[Texto]" custT="1"/>
      <dgm:spPr>
        <a:xfrm rot="5400000">
          <a:off x="1999196" y="2005889"/>
          <a:ext cx="773331" cy="3106086"/>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es-MX" sz="600">
              <a:solidFill>
                <a:sysClr val="windowText" lastClr="000000">
                  <a:hueOff val="0"/>
                  <a:satOff val="0"/>
                  <a:lumOff val="0"/>
                  <a:alphaOff val="0"/>
                </a:sysClr>
              </a:solidFill>
              <a:latin typeface="Calibri"/>
              <a:ea typeface="+mn-ea"/>
              <a:cs typeface="+mn-cs"/>
            </a:rPr>
            <a:t>Examinar el índice de predicción de fenómenos extremos y otros índices para analizar la posible aparición de fenómenos meteorológicos adversos durante el período de predicción</a:t>
          </a:r>
          <a:r>
            <a:rPr lang="es-MX" sz="900">
              <a:solidFill>
                <a:sysClr val="windowText" lastClr="000000">
                  <a:hueOff val="0"/>
                  <a:satOff val="0"/>
                  <a:lumOff val="0"/>
                  <a:alphaOff val="0"/>
                </a:sysClr>
              </a:solidFill>
              <a:latin typeface="Calibri"/>
              <a:ea typeface="+mn-ea"/>
              <a:cs typeface="+mn-cs"/>
            </a:rPr>
            <a:t>.</a:t>
          </a:r>
        </a:p>
      </dgm:t>
    </dgm:pt>
    <dgm:pt modelId="{43169235-9876-9249-9BF4-CDF3BB1DE013}" type="parTrans" cxnId="{0EAEFF35-1418-9745-98D6-B12B07876BFF}">
      <dgm:prSet/>
      <dgm:spPr/>
      <dgm:t>
        <a:bodyPr/>
        <a:lstStyle/>
        <a:p>
          <a:endParaRPr lang="pt-PT"/>
        </a:p>
      </dgm:t>
    </dgm:pt>
    <dgm:pt modelId="{6F7F2BCC-A7B7-C241-A688-371F44CD3AA9}" type="sibTrans" cxnId="{0EAEFF35-1418-9745-98D6-B12B07876BFF}">
      <dgm:prSet/>
      <dgm:spPr/>
      <dgm:t>
        <a:bodyPr/>
        <a:lstStyle/>
        <a:p>
          <a:endParaRPr lang="pt-PT"/>
        </a:p>
      </dgm:t>
    </dgm:pt>
    <dgm:pt modelId="{3C4454FF-6E6D-4B4D-84F7-8072C4C10D0D}">
      <dgm:prSet phldrT="[Texto]" custT="1"/>
      <dgm:spPr>
        <a:xfrm rot="5400000">
          <a:off x="1999196" y="2005889"/>
          <a:ext cx="773331" cy="3106086"/>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es-MX" sz="600">
              <a:solidFill>
                <a:sysClr val="windowText" lastClr="000000">
                  <a:hueOff val="0"/>
                  <a:satOff val="0"/>
                  <a:lumOff val="0"/>
                  <a:alphaOff val="0"/>
                </a:sysClr>
              </a:solidFill>
              <a:latin typeface="Calibri"/>
              <a:ea typeface="+mn-ea"/>
              <a:cs typeface="+mn-cs"/>
            </a:rPr>
            <a:t>Observar las señales intensas y constantes de posibles condiciones meteorológicas anómalas y adversas en ese período.</a:t>
          </a:r>
        </a:p>
      </dgm:t>
    </dgm:pt>
    <dgm:pt modelId="{2E094FD5-5EE8-8449-8EEF-B7FBBCD84AD1}" type="parTrans" cxnId="{55BA63EC-1AC5-CA46-A068-A26491EA6A51}">
      <dgm:prSet/>
      <dgm:spPr/>
      <dgm:t>
        <a:bodyPr/>
        <a:lstStyle/>
        <a:p>
          <a:endParaRPr lang="pt-PT"/>
        </a:p>
      </dgm:t>
    </dgm:pt>
    <dgm:pt modelId="{43FB1AF3-F66B-F947-AB6D-2288D78E2385}" type="sibTrans" cxnId="{55BA63EC-1AC5-CA46-A068-A26491EA6A51}">
      <dgm:prSet/>
      <dgm:spPr/>
      <dgm:t>
        <a:bodyPr/>
        <a:lstStyle/>
        <a:p>
          <a:endParaRPr lang="pt-PT"/>
        </a:p>
      </dgm:t>
    </dgm:pt>
    <dgm:pt modelId="{44D02060-CFD7-B948-B6D8-E6AB0E166AE0}" type="pres">
      <dgm:prSet presAssocID="{B21D5D0E-E13F-C449-B257-C28DEB42D740}" presName="linearFlow" presStyleCnt="0">
        <dgm:presLayoutVars>
          <dgm:dir/>
          <dgm:animLvl val="lvl"/>
          <dgm:resizeHandles val="exact"/>
        </dgm:presLayoutVars>
      </dgm:prSet>
      <dgm:spPr/>
    </dgm:pt>
    <dgm:pt modelId="{6902F238-0AF4-F44F-BA08-9FF36755BD5E}" type="pres">
      <dgm:prSet presAssocID="{5C10EE74-9B57-8646-980D-F2311E7204EF}" presName="composite" presStyleCnt="0"/>
      <dgm:spPr/>
    </dgm:pt>
    <dgm:pt modelId="{E4C72907-5DB5-E64C-BB12-2763598644DA}" type="pres">
      <dgm:prSet presAssocID="{5C10EE74-9B57-8646-980D-F2311E7204EF}" presName="parentText" presStyleLbl="alignNode1" presStyleIdx="0" presStyleCnt="7">
        <dgm:presLayoutVars>
          <dgm:chMax val="1"/>
          <dgm:bulletEnabled val="1"/>
        </dgm:presLayoutVars>
      </dgm:prSet>
      <dgm:spPr/>
    </dgm:pt>
    <dgm:pt modelId="{92DAEA5D-030A-334A-8F16-66C0A675E681}" type="pres">
      <dgm:prSet presAssocID="{5C10EE74-9B57-8646-980D-F2311E7204EF}" presName="descendantText" presStyleLbl="alignAcc1" presStyleIdx="0" presStyleCnt="7">
        <dgm:presLayoutVars>
          <dgm:bulletEnabled val="1"/>
        </dgm:presLayoutVars>
      </dgm:prSet>
      <dgm:spPr/>
    </dgm:pt>
    <dgm:pt modelId="{5078AA6B-645C-1E43-9D82-79526C608EAD}" type="pres">
      <dgm:prSet presAssocID="{78BCF3A2-1256-204E-8905-1DC3E50D514E}" presName="sp" presStyleCnt="0"/>
      <dgm:spPr/>
    </dgm:pt>
    <dgm:pt modelId="{8E579B5F-EC4F-A04E-8E82-54068D4D2E3B}" type="pres">
      <dgm:prSet presAssocID="{07528A0F-A8BA-A94D-80F6-1F175E226852}" presName="composite" presStyleCnt="0"/>
      <dgm:spPr/>
    </dgm:pt>
    <dgm:pt modelId="{FB7CD394-5680-2D41-A67E-B4602268E13D}" type="pres">
      <dgm:prSet presAssocID="{07528A0F-A8BA-A94D-80F6-1F175E226852}" presName="parentText" presStyleLbl="alignNode1" presStyleIdx="1" presStyleCnt="7">
        <dgm:presLayoutVars>
          <dgm:chMax val="1"/>
          <dgm:bulletEnabled val="1"/>
        </dgm:presLayoutVars>
      </dgm:prSet>
      <dgm:spPr/>
    </dgm:pt>
    <dgm:pt modelId="{22F7B247-EE4E-0045-818F-5783A25680C6}" type="pres">
      <dgm:prSet presAssocID="{07528A0F-A8BA-A94D-80F6-1F175E226852}" presName="descendantText" presStyleLbl="alignAcc1" presStyleIdx="1" presStyleCnt="7">
        <dgm:presLayoutVars>
          <dgm:bulletEnabled val="1"/>
        </dgm:presLayoutVars>
      </dgm:prSet>
      <dgm:spPr/>
    </dgm:pt>
    <dgm:pt modelId="{04D7C893-A348-854C-A3EA-B9FFDA956D1C}" type="pres">
      <dgm:prSet presAssocID="{622B205B-59D3-9D49-B8B0-0B3A2A34EC0B}" presName="sp" presStyleCnt="0"/>
      <dgm:spPr/>
    </dgm:pt>
    <dgm:pt modelId="{34557DAC-8080-9D47-9DB4-B12221CA9C96}" type="pres">
      <dgm:prSet presAssocID="{2DE96918-62BA-7A46-B312-FDA0AD179EB7}" presName="composite" presStyleCnt="0"/>
      <dgm:spPr/>
    </dgm:pt>
    <dgm:pt modelId="{D973094A-3B31-494E-AC74-364F4004D044}" type="pres">
      <dgm:prSet presAssocID="{2DE96918-62BA-7A46-B312-FDA0AD179EB7}" presName="parentText" presStyleLbl="alignNode1" presStyleIdx="2" presStyleCnt="7">
        <dgm:presLayoutVars>
          <dgm:chMax val="1"/>
          <dgm:bulletEnabled val="1"/>
        </dgm:presLayoutVars>
      </dgm:prSet>
      <dgm:spPr/>
    </dgm:pt>
    <dgm:pt modelId="{9A8019F7-AD91-3949-BF1E-B0F09D5C1A5C}" type="pres">
      <dgm:prSet presAssocID="{2DE96918-62BA-7A46-B312-FDA0AD179EB7}" presName="descendantText" presStyleLbl="alignAcc1" presStyleIdx="2" presStyleCnt="7">
        <dgm:presLayoutVars>
          <dgm:bulletEnabled val="1"/>
        </dgm:presLayoutVars>
      </dgm:prSet>
      <dgm:spPr/>
    </dgm:pt>
    <dgm:pt modelId="{5A1223C6-B8B2-4E46-BEC2-11D5F343FE79}" type="pres">
      <dgm:prSet presAssocID="{18DB70DA-0877-B149-BB81-B7557209D488}" presName="sp" presStyleCnt="0"/>
      <dgm:spPr/>
    </dgm:pt>
    <dgm:pt modelId="{1AA1F6FC-E349-6546-ACA4-399D622339C9}" type="pres">
      <dgm:prSet presAssocID="{BEEF2949-3A4E-0C4D-BC8D-8DEB658C1DB1}" presName="composite" presStyleCnt="0"/>
      <dgm:spPr/>
    </dgm:pt>
    <dgm:pt modelId="{B89582F3-826D-814C-9606-CA7CF767E8F3}" type="pres">
      <dgm:prSet presAssocID="{BEEF2949-3A4E-0C4D-BC8D-8DEB658C1DB1}" presName="parentText" presStyleLbl="alignNode1" presStyleIdx="3" presStyleCnt="7">
        <dgm:presLayoutVars>
          <dgm:chMax val="1"/>
          <dgm:bulletEnabled val="1"/>
        </dgm:presLayoutVars>
      </dgm:prSet>
      <dgm:spPr/>
    </dgm:pt>
    <dgm:pt modelId="{18AE87CF-0C28-7347-BF73-E89AEE27248E}" type="pres">
      <dgm:prSet presAssocID="{BEEF2949-3A4E-0C4D-BC8D-8DEB658C1DB1}" presName="descendantText" presStyleLbl="alignAcc1" presStyleIdx="3" presStyleCnt="7">
        <dgm:presLayoutVars>
          <dgm:bulletEnabled val="1"/>
        </dgm:presLayoutVars>
      </dgm:prSet>
      <dgm:spPr/>
    </dgm:pt>
    <dgm:pt modelId="{01864E01-76A0-8C40-A506-E362ED4382CF}" type="pres">
      <dgm:prSet presAssocID="{73AA9358-2018-DC43-A2C2-651E623178BB}" presName="sp" presStyleCnt="0"/>
      <dgm:spPr/>
    </dgm:pt>
    <dgm:pt modelId="{4B85E558-411F-384A-86C3-536541028E44}" type="pres">
      <dgm:prSet presAssocID="{C3291333-15A1-A54D-B187-E8C4570F81AC}" presName="composite" presStyleCnt="0"/>
      <dgm:spPr/>
    </dgm:pt>
    <dgm:pt modelId="{CF118F01-D097-A042-B0A2-E4C7E173701C}" type="pres">
      <dgm:prSet presAssocID="{C3291333-15A1-A54D-B187-E8C4570F81AC}" presName="parentText" presStyleLbl="alignNode1" presStyleIdx="4" presStyleCnt="7">
        <dgm:presLayoutVars>
          <dgm:chMax val="1"/>
          <dgm:bulletEnabled val="1"/>
        </dgm:presLayoutVars>
      </dgm:prSet>
      <dgm:spPr/>
    </dgm:pt>
    <dgm:pt modelId="{36E74988-709D-044A-A791-FD51CE316462}" type="pres">
      <dgm:prSet presAssocID="{C3291333-15A1-A54D-B187-E8C4570F81AC}" presName="descendantText" presStyleLbl="alignAcc1" presStyleIdx="4" presStyleCnt="7">
        <dgm:presLayoutVars>
          <dgm:bulletEnabled val="1"/>
        </dgm:presLayoutVars>
      </dgm:prSet>
      <dgm:spPr/>
    </dgm:pt>
    <dgm:pt modelId="{670D324A-6ADD-6349-A130-2946F70A274C}" type="pres">
      <dgm:prSet presAssocID="{4768012F-77C7-BA47-9CFB-11D016FCEF94}" presName="sp" presStyleCnt="0"/>
      <dgm:spPr/>
    </dgm:pt>
    <dgm:pt modelId="{C4BF5B22-2EA7-F645-AB0B-F2F152D205B1}" type="pres">
      <dgm:prSet presAssocID="{69C07F8A-8115-304A-AC9F-F0C4CD8D71DA}" presName="composite" presStyleCnt="0"/>
      <dgm:spPr/>
    </dgm:pt>
    <dgm:pt modelId="{80F0A11A-E23B-054B-988C-046EFE84E297}" type="pres">
      <dgm:prSet presAssocID="{69C07F8A-8115-304A-AC9F-F0C4CD8D71DA}" presName="parentText" presStyleLbl="alignNode1" presStyleIdx="5" presStyleCnt="7">
        <dgm:presLayoutVars>
          <dgm:chMax val="1"/>
          <dgm:bulletEnabled val="1"/>
        </dgm:presLayoutVars>
      </dgm:prSet>
      <dgm:spPr/>
    </dgm:pt>
    <dgm:pt modelId="{D4E27C60-5E39-7949-8249-462FD9262DDD}" type="pres">
      <dgm:prSet presAssocID="{69C07F8A-8115-304A-AC9F-F0C4CD8D71DA}" presName="descendantText" presStyleLbl="alignAcc1" presStyleIdx="5" presStyleCnt="7">
        <dgm:presLayoutVars>
          <dgm:bulletEnabled val="1"/>
        </dgm:presLayoutVars>
      </dgm:prSet>
      <dgm:spPr/>
    </dgm:pt>
    <dgm:pt modelId="{13F9B998-A5B2-7F46-8E36-A38A210FF73E}" type="pres">
      <dgm:prSet presAssocID="{3168C3BE-67FB-AD4D-9442-51F8F88BB974}" presName="sp" presStyleCnt="0"/>
      <dgm:spPr/>
    </dgm:pt>
    <dgm:pt modelId="{FF2535DA-B760-B44D-BF42-7F781A248652}" type="pres">
      <dgm:prSet presAssocID="{ED194657-9DF7-7C4F-BBF9-E6E8AD035887}" presName="composite" presStyleCnt="0"/>
      <dgm:spPr/>
    </dgm:pt>
    <dgm:pt modelId="{4E35397A-EC4F-D049-A8EB-D8AA2209DF73}" type="pres">
      <dgm:prSet presAssocID="{ED194657-9DF7-7C4F-BBF9-E6E8AD035887}" presName="parentText" presStyleLbl="alignNode1" presStyleIdx="6" presStyleCnt="7">
        <dgm:presLayoutVars>
          <dgm:chMax val="1"/>
          <dgm:bulletEnabled val="1"/>
        </dgm:presLayoutVars>
      </dgm:prSet>
      <dgm:spPr/>
    </dgm:pt>
    <dgm:pt modelId="{908E36E6-53A4-9443-A4BF-A3881C0FD3BB}" type="pres">
      <dgm:prSet presAssocID="{ED194657-9DF7-7C4F-BBF9-E6E8AD035887}" presName="descendantText" presStyleLbl="alignAcc1" presStyleIdx="6" presStyleCnt="7">
        <dgm:presLayoutVars>
          <dgm:bulletEnabled val="1"/>
        </dgm:presLayoutVars>
      </dgm:prSet>
      <dgm:spPr/>
    </dgm:pt>
  </dgm:ptLst>
  <dgm:cxnLst>
    <dgm:cxn modelId="{8504F704-1E40-AC4B-9B80-3B043DBBC67A}" type="presOf" srcId="{07528A0F-A8BA-A94D-80F6-1F175E226852}" destId="{FB7CD394-5680-2D41-A67E-B4602268E13D}" srcOrd="0" destOrd="0" presId="urn:microsoft.com/office/officeart/2005/8/layout/chevron2"/>
    <dgm:cxn modelId="{FBBAC710-82E3-BE47-8030-A8252D3A98F8}" type="presOf" srcId="{AEB68DD2-B330-9B41-A725-78F83520E1F1}" destId="{9A8019F7-AD91-3949-BF1E-B0F09D5C1A5C}" srcOrd="0" destOrd="1" presId="urn:microsoft.com/office/officeart/2005/8/layout/chevron2"/>
    <dgm:cxn modelId="{6C4FF31F-407F-3842-BAA1-95851477D857}" srcId="{5C10EE74-9B57-8646-980D-F2311E7204EF}" destId="{7304C0D8-DEB1-2743-BC89-56C376C235EE}" srcOrd="0" destOrd="0" parTransId="{15D0FA5A-E74D-8B43-AB39-0B96C835490B}" sibTransId="{0FC7FD92-4E66-FF40-B439-36F195E5557D}"/>
    <dgm:cxn modelId="{C9624C21-458D-1D44-B36F-96DA89722325}" type="presOf" srcId="{A5959275-4689-F74E-A43C-7900B5EB5FB2}" destId="{18AE87CF-0C28-7347-BF73-E89AEE27248E}" srcOrd="0" destOrd="1" presId="urn:microsoft.com/office/officeart/2005/8/layout/chevron2"/>
    <dgm:cxn modelId="{26CCDE21-DC6F-F94B-B329-74EE5DACAB9E}" type="presOf" srcId="{ED194657-9DF7-7C4F-BBF9-E6E8AD035887}" destId="{4E35397A-EC4F-D049-A8EB-D8AA2209DF73}" srcOrd="0" destOrd="0" presId="urn:microsoft.com/office/officeart/2005/8/layout/chevron2"/>
    <dgm:cxn modelId="{0BF9BB24-F760-7240-AA0E-80D2CC6D5A59}" srcId="{C3291333-15A1-A54D-B187-E8C4570F81AC}" destId="{D19B7FDC-F733-0C48-9CF8-C7B380A14002}" srcOrd="0" destOrd="0" parTransId="{D5EA26EF-938B-754D-BCDB-679EDD9BF769}" sibTransId="{16732066-BAB4-8F45-99DA-0799E11A3CD3}"/>
    <dgm:cxn modelId="{01C56526-431B-2E45-AE6E-FF3FDDE14472}" type="presOf" srcId="{5C10EE74-9B57-8646-980D-F2311E7204EF}" destId="{E4C72907-5DB5-E64C-BB12-2763598644DA}" srcOrd="0" destOrd="0" presId="urn:microsoft.com/office/officeart/2005/8/layout/chevron2"/>
    <dgm:cxn modelId="{62A6272A-20FF-8D4B-AB01-99E4CCC3C26F}" type="presOf" srcId="{B148858E-5CF3-8241-806F-71C5C3689B13}" destId="{22F7B247-EE4E-0045-818F-5783A25680C6}" srcOrd="0" destOrd="0" presId="urn:microsoft.com/office/officeart/2005/8/layout/chevron2"/>
    <dgm:cxn modelId="{5204562A-E6EB-2D4F-8C31-3A6C1047BA82}" type="presOf" srcId="{7304C0D8-DEB1-2743-BC89-56C376C235EE}" destId="{92DAEA5D-030A-334A-8F16-66C0A675E681}" srcOrd="0" destOrd="0" presId="urn:microsoft.com/office/officeart/2005/8/layout/chevron2"/>
    <dgm:cxn modelId="{C06CE930-C8FB-1D4C-89D6-0B5F8D4F3748}" type="presOf" srcId="{132B135B-D8EB-6644-B17D-9301DC413054}" destId="{908E36E6-53A4-9443-A4BF-A3881C0FD3BB}" srcOrd="0" destOrd="0" presId="urn:microsoft.com/office/officeart/2005/8/layout/chevron2"/>
    <dgm:cxn modelId="{0EAEFF35-1418-9745-98D6-B12B07876BFF}" srcId="{BEEF2949-3A4E-0C4D-BC8D-8DEB658C1DB1}" destId="{A5959275-4689-F74E-A43C-7900B5EB5FB2}" srcOrd="1" destOrd="0" parTransId="{43169235-9876-9249-9BF4-CDF3BB1DE013}" sibTransId="{6F7F2BCC-A7B7-C241-A688-371F44CD3AA9}"/>
    <dgm:cxn modelId="{F12A0146-16EA-D445-8723-114810600417}" srcId="{B21D5D0E-E13F-C449-B257-C28DEB42D740}" destId="{2DE96918-62BA-7A46-B312-FDA0AD179EB7}" srcOrd="2" destOrd="0" parTransId="{3FA17D6A-B24A-D54C-92C0-7217A40401AF}" sibTransId="{18DB70DA-0877-B149-BB81-B7557209D488}"/>
    <dgm:cxn modelId="{61C23D48-7A45-034F-BA1D-84075B1F31AE}" type="presOf" srcId="{C3291333-15A1-A54D-B187-E8C4570F81AC}" destId="{CF118F01-D097-A042-B0A2-E4C7E173701C}" srcOrd="0" destOrd="0" presId="urn:microsoft.com/office/officeart/2005/8/layout/chevron2"/>
    <dgm:cxn modelId="{7AB40C6C-C93E-B049-AD3D-C6A251458031}" type="presOf" srcId="{2DE96918-62BA-7A46-B312-FDA0AD179EB7}" destId="{D973094A-3B31-494E-AC74-364F4004D044}" srcOrd="0" destOrd="0" presId="urn:microsoft.com/office/officeart/2005/8/layout/chevron2"/>
    <dgm:cxn modelId="{91F6616C-D30B-7149-9ED3-93DEEAFD55FE}" srcId="{ED194657-9DF7-7C4F-BBF9-E6E8AD035887}" destId="{132B135B-D8EB-6644-B17D-9301DC413054}" srcOrd="0" destOrd="0" parTransId="{11733EC7-80A8-0E4E-B41E-35A54F647B8A}" sibTransId="{3CD64D8E-3BA3-594E-98B2-227ED6F22042}"/>
    <dgm:cxn modelId="{FE0E9E6D-B9B7-2344-88E4-C31273A181B8}" srcId="{B21D5D0E-E13F-C449-B257-C28DEB42D740}" destId="{C3291333-15A1-A54D-B187-E8C4570F81AC}" srcOrd="4" destOrd="0" parTransId="{3E4837C1-701A-B445-AC1E-269C2DB8CDB0}" sibTransId="{4768012F-77C7-BA47-9CFB-11D016FCEF94}"/>
    <dgm:cxn modelId="{1F9DD670-9990-4B40-9CB4-70F7BE727D2B}" srcId="{2DE96918-62BA-7A46-B312-FDA0AD179EB7}" destId="{AEB68DD2-B330-9B41-A725-78F83520E1F1}" srcOrd="1" destOrd="0" parTransId="{BF982A2D-F9FD-2C49-BCFB-3ABCA4C6BB82}" sibTransId="{E5625E89-C184-FD4E-8142-82DA142CBF82}"/>
    <dgm:cxn modelId="{D4059A56-F4A2-B448-88D4-95B0BF012D24}" type="presOf" srcId="{F8C8D8A4-75A6-7D41-AA62-2450A1F981AD}" destId="{9A8019F7-AD91-3949-BF1E-B0F09D5C1A5C}" srcOrd="0" destOrd="0" presId="urn:microsoft.com/office/officeart/2005/8/layout/chevron2"/>
    <dgm:cxn modelId="{31AAD696-E50E-7549-BA00-97DE10C404F7}" srcId="{B21D5D0E-E13F-C449-B257-C28DEB42D740}" destId="{ED194657-9DF7-7C4F-BBF9-E6E8AD035887}" srcOrd="6" destOrd="0" parTransId="{58A34DDC-77D6-0949-97FC-B15FEFA57AA6}" sibTransId="{17BE53B8-5F37-204A-B9DF-C7F935946D4F}"/>
    <dgm:cxn modelId="{F71D2D9D-AADF-AF4C-9153-2C11C253AA1F}" type="presOf" srcId="{3C4454FF-6E6D-4B4D-84F7-8072C4C10D0D}" destId="{18AE87CF-0C28-7347-BF73-E89AEE27248E}" srcOrd="0" destOrd="0" presId="urn:microsoft.com/office/officeart/2005/8/layout/chevron2"/>
    <dgm:cxn modelId="{821BC5A5-96AA-4D41-9A87-A0998A4B166C}" srcId="{2DE96918-62BA-7A46-B312-FDA0AD179EB7}" destId="{F8C8D8A4-75A6-7D41-AA62-2450A1F981AD}" srcOrd="0" destOrd="0" parTransId="{0AF24FCA-1A04-D040-8812-F5C3CBA623E7}" sibTransId="{F5FEB0D5-61C3-F64C-BEA7-351F9E3DEB33}"/>
    <dgm:cxn modelId="{081954AE-70C3-834F-AB72-26F17919C866}" srcId="{B21D5D0E-E13F-C449-B257-C28DEB42D740}" destId="{BEEF2949-3A4E-0C4D-BC8D-8DEB658C1DB1}" srcOrd="3" destOrd="0" parTransId="{F0CD0BCA-29B6-4144-8355-323EBCA11840}" sibTransId="{73AA9358-2018-DC43-A2C2-651E623178BB}"/>
    <dgm:cxn modelId="{1197C8AE-113A-A146-9DDC-6D0EC769708E}" srcId="{B21D5D0E-E13F-C449-B257-C28DEB42D740}" destId="{69C07F8A-8115-304A-AC9F-F0C4CD8D71DA}" srcOrd="5" destOrd="0" parTransId="{18A2C1CD-6F00-CC48-9D9A-E5195BB1AEE8}" sibTransId="{3168C3BE-67FB-AD4D-9442-51F8F88BB974}"/>
    <dgm:cxn modelId="{6B0DB2AF-2F0A-8D44-A937-BBE1214ECD5F}" type="presOf" srcId="{69C07F8A-8115-304A-AC9F-F0C4CD8D71DA}" destId="{80F0A11A-E23B-054B-988C-046EFE84E297}" srcOrd="0" destOrd="0" presId="urn:microsoft.com/office/officeart/2005/8/layout/chevron2"/>
    <dgm:cxn modelId="{1A034EB4-D5BD-C146-AB7B-7D3B0F019F70}" type="presOf" srcId="{D19B7FDC-F733-0C48-9CF8-C7B380A14002}" destId="{36E74988-709D-044A-A791-FD51CE316462}" srcOrd="0" destOrd="0" presId="urn:microsoft.com/office/officeart/2005/8/layout/chevron2"/>
    <dgm:cxn modelId="{25D950D6-DF70-8E43-BDC4-AD04F39D141B}" type="presOf" srcId="{B21D5D0E-E13F-C449-B257-C28DEB42D740}" destId="{44D02060-CFD7-B948-B6D8-E6AB0E166AE0}" srcOrd="0" destOrd="0" presId="urn:microsoft.com/office/officeart/2005/8/layout/chevron2"/>
    <dgm:cxn modelId="{EBADF0E8-904E-1A4B-B576-436977574A64}" type="presOf" srcId="{28D2AEAC-EE81-DA4D-B0C6-1F502830834A}" destId="{D4E27C60-5E39-7949-8249-462FD9262DDD}" srcOrd="0" destOrd="0" presId="urn:microsoft.com/office/officeart/2005/8/layout/chevron2"/>
    <dgm:cxn modelId="{AFAECAEB-6B38-2847-9AC6-C027BA0786BB}" srcId="{B21D5D0E-E13F-C449-B257-C28DEB42D740}" destId="{5C10EE74-9B57-8646-980D-F2311E7204EF}" srcOrd="0" destOrd="0" parTransId="{A52CD551-6359-D646-AED8-81666897F7F3}" sibTransId="{78BCF3A2-1256-204E-8905-1DC3E50D514E}"/>
    <dgm:cxn modelId="{55BA63EC-1AC5-CA46-A068-A26491EA6A51}" srcId="{BEEF2949-3A4E-0C4D-BC8D-8DEB658C1DB1}" destId="{3C4454FF-6E6D-4B4D-84F7-8072C4C10D0D}" srcOrd="0" destOrd="0" parTransId="{2E094FD5-5EE8-8449-8EEF-B7FBBCD84AD1}" sibTransId="{43FB1AF3-F66B-F947-AB6D-2288D78E2385}"/>
    <dgm:cxn modelId="{162683EC-BCE1-ED49-AD0B-33E3CF691738}" srcId="{B21D5D0E-E13F-C449-B257-C28DEB42D740}" destId="{07528A0F-A8BA-A94D-80F6-1F175E226852}" srcOrd="1" destOrd="0" parTransId="{0268C1BC-8CD4-D34D-B725-40A9C1218F5D}" sibTransId="{622B205B-59D3-9D49-B8B0-0B3A2A34EC0B}"/>
    <dgm:cxn modelId="{CD567CF0-B8AB-A94D-866A-2E767EFB59F6}" srcId="{07528A0F-A8BA-A94D-80F6-1F175E226852}" destId="{B148858E-5CF3-8241-806F-71C5C3689B13}" srcOrd="0" destOrd="0" parTransId="{27623A01-A45F-AE43-BE90-996094956984}" sibTransId="{A529AE84-AE39-5949-B42A-F121DF150D7A}"/>
    <dgm:cxn modelId="{56EECEF8-B26D-8542-AF55-D524369D4A07}" type="presOf" srcId="{BEEF2949-3A4E-0C4D-BC8D-8DEB658C1DB1}" destId="{B89582F3-826D-814C-9606-CA7CF767E8F3}" srcOrd="0" destOrd="0" presId="urn:microsoft.com/office/officeart/2005/8/layout/chevron2"/>
    <dgm:cxn modelId="{7B0107F9-40AE-C345-AAA8-1E22098DDE8E}" srcId="{69C07F8A-8115-304A-AC9F-F0C4CD8D71DA}" destId="{28D2AEAC-EE81-DA4D-B0C6-1F502830834A}" srcOrd="0" destOrd="0" parTransId="{A9CFEB2D-DB61-EC42-89B6-1D3DA969C6A9}" sibTransId="{AAEAF14F-D845-4B46-8128-A155E6BEB517}"/>
    <dgm:cxn modelId="{B390030E-DD74-7D43-967B-4605772FA776}" type="presParOf" srcId="{44D02060-CFD7-B948-B6D8-E6AB0E166AE0}" destId="{6902F238-0AF4-F44F-BA08-9FF36755BD5E}" srcOrd="0" destOrd="0" presId="urn:microsoft.com/office/officeart/2005/8/layout/chevron2"/>
    <dgm:cxn modelId="{4F4BC932-1F54-EA48-89B4-B9D1229B227F}" type="presParOf" srcId="{6902F238-0AF4-F44F-BA08-9FF36755BD5E}" destId="{E4C72907-5DB5-E64C-BB12-2763598644DA}" srcOrd="0" destOrd="0" presId="urn:microsoft.com/office/officeart/2005/8/layout/chevron2"/>
    <dgm:cxn modelId="{8FEE2833-807D-8241-A22D-55DA6E79B12E}" type="presParOf" srcId="{6902F238-0AF4-F44F-BA08-9FF36755BD5E}" destId="{92DAEA5D-030A-334A-8F16-66C0A675E681}" srcOrd="1" destOrd="0" presId="urn:microsoft.com/office/officeart/2005/8/layout/chevron2"/>
    <dgm:cxn modelId="{3F1E199B-01B1-C140-9013-5FFE8D20548D}" type="presParOf" srcId="{44D02060-CFD7-B948-B6D8-E6AB0E166AE0}" destId="{5078AA6B-645C-1E43-9D82-79526C608EAD}" srcOrd="1" destOrd="0" presId="urn:microsoft.com/office/officeart/2005/8/layout/chevron2"/>
    <dgm:cxn modelId="{F160B450-0841-A14B-9EF9-8BE25346BAB7}" type="presParOf" srcId="{44D02060-CFD7-B948-B6D8-E6AB0E166AE0}" destId="{8E579B5F-EC4F-A04E-8E82-54068D4D2E3B}" srcOrd="2" destOrd="0" presId="urn:microsoft.com/office/officeart/2005/8/layout/chevron2"/>
    <dgm:cxn modelId="{F9FE0185-41A5-1A45-A6A4-A510EA4C1B40}" type="presParOf" srcId="{8E579B5F-EC4F-A04E-8E82-54068D4D2E3B}" destId="{FB7CD394-5680-2D41-A67E-B4602268E13D}" srcOrd="0" destOrd="0" presId="urn:microsoft.com/office/officeart/2005/8/layout/chevron2"/>
    <dgm:cxn modelId="{409AFE4F-2324-874F-86CD-3F082DF5947A}" type="presParOf" srcId="{8E579B5F-EC4F-A04E-8E82-54068D4D2E3B}" destId="{22F7B247-EE4E-0045-818F-5783A25680C6}" srcOrd="1" destOrd="0" presId="urn:microsoft.com/office/officeart/2005/8/layout/chevron2"/>
    <dgm:cxn modelId="{FADBCE35-F911-C349-9328-FD8FA14C78E7}" type="presParOf" srcId="{44D02060-CFD7-B948-B6D8-E6AB0E166AE0}" destId="{04D7C893-A348-854C-A3EA-B9FFDA956D1C}" srcOrd="3" destOrd="0" presId="urn:microsoft.com/office/officeart/2005/8/layout/chevron2"/>
    <dgm:cxn modelId="{D5064C06-0B78-6646-AF16-D87C11110BE0}" type="presParOf" srcId="{44D02060-CFD7-B948-B6D8-E6AB0E166AE0}" destId="{34557DAC-8080-9D47-9DB4-B12221CA9C96}" srcOrd="4" destOrd="0" presId="urn:microsoft.com/office/officeart/2005/8/layout/chevron2"/>
    <dgm:cxn modelId="{D6D46E74-7B84-014A-8BFD-C9BF057B42C3}" type="presParOf" srcId="{34557DAC-8080-9D47-9DB4-B12221CA9C96}" destId="{D973094A-3B31-494E-AC74-364F4004D044}" srcOrd="0" destOrd="0" presId="urn:microsoft.com/office/officeart/2005/8/layout/chevron2"/>
    <dgm:cxn modelId="{098038DF-C4A1-784D-87D2-8A4455526F88}" type="presParOf" srcId="{34557DAC-8080-9D47-9DB4-B12221CA9C96}" destId="{9A8019F7-AD91-3949-BF1E-B0F09D5C1A5C}" srcOrd="1" destOrd="0" presId="urn:microsoft.com/office/officeart/2005/8/layout/chevron2"/>
    <dgm:cxn modelId="{2674AB89-2025-8F45-B126-5E66E561567E}" type="presParOf" srcId="{44D02060-CFD7-B948-B6D8-E6AB0E166AE0}" destId="{5A1223C6-B8B2-4E46-BEC2-11D5F343FE79}" srcOrd="5" destOrd="0" presId="urn:microsoft.com/office/officeart/2005/8/layout/chevron2"/>
    <dgm:cxn modelId="{A5FE54EA-30F5-B84A-9E22-0AC00E97E83C}" type="presParOf" srcId="{44D02060-CFD7-B948-B6D8-E6AB0E166AE0}" destId="{1AA1F6FC-E349-6546-ACA4-399D622339C9}" srcOrd="6" destOrd="0" presId="urn:microsoft.com/office/officeart/2005/8/layout/chevron2"/>
    <dgm:cxn modelId="{59AF94D8-E015-0C45-984D-DF8CB9E1431D}" type="presParOf" srcId="{1AA1F6FC-E349-6546-ACA4-399D622339C9}" destId="{B89582F3-826D-814C-9606-CA7CF767E8F3}" srcOrd="0" destOrd="0" presId="urn:microsoft.com/office/officeart/2005/8/layout/chevron2"/>
    <dgm:cxn modelId="{B8A27F69-1025-0A4D-9D14-5C3DFA91DBC5}" type="presParOf" srcId="{1AA1F6FC-E349-6546-ACA4-399D622339C9}" destId="{18AE87CF-0C28-7347-BF73-E89AEE27248E}" srcOrd="1" destOrd="0" presId="urn:microsoft.com/office/officeart/2005/8/layout/chevron2"/>
    <dgm:cxn modelId="{5A065A90-61D8-534E-B359-851D3F7DD486}" type="presParOf" srcId="{44D02060-CFD7-B948-B6D8-E6AB0E166AE0}" destId="{01864E01-76A0-8C40-A506-E362ED4382CF}" srcOrd="7" destOrd="0" presId="urn:microsoft.com/office/officeart/2005/8/layout/chevron2"/>
    <dgm:cxn modelId="{4FE2D740-CE4C-4642-9402-E0FF4B982953}" type="presParOf" srcId="{44D02060-CFD7-B948-B6D8-E6AB0E166AE0}" destId="{4B85E558-411F-384A-86C3-536541028E44}" srcOrd="8" destOrd="0" presId="urn:microsoft.com/office/officeart/2005/8/layout/chevron2"/>
    <dgm:cxn modelId="{FAC66E43-E116-F345-A9B2-0B32138A47FA}" type="presParOf" srcId="{4B85E558-411F-384A-86C3-536541028E44}" destId="{CF118F01-D097-A042-B0A2-E4C7E173701C}" srcOrd="0" destOrd="0" presId="urn:microsoft.com/office/officeart/2005/8/layout/chevron2"/>
    <dgm:cxn modelId="{096DC2D3-6273-DE42-BFAD-78E32B352ED6}" type="presParOf" srcId="{4B85E558-411F-384A-86C3-536541028E44}" destId="{36E74988-709D-044A-A791-FD51CE316462}" srcOrd="1" destOrd="0" presId="urn:microsoft.com/office/officeart/2005/8/layout/chevron2"/>
    <dgm:cxn modelId="{243F73D1-8EEF-C946-A93E-ABA686819988}" type="presParOf" srcId="{44D02060-CFD7-B948-B6D8-E6AB0E166AE0}" destId="{670D324A-6ADD-6349-A130-2946F70A274C}" srcOrd="9" destOrd="0" presId="urn:microsoft.com/office/officeart/2005/8/layout/chevron2"/>
    <dgm:cxn modelId="{FCB0798A-FB78-984F-819F-352B4439B7E6}" type="presParOf" srcId="{44D02060-CFD7-B948-B6D8-E6AB0E166AE0}" destId="{C4BF5B22-2EA7-F645-AB0B-F2F152D205B1}" srcOrd="10" destOrd="0" presId="urn:microsoft.com/office/officeart/2005/8/layout/chevron2"/>
    <dgm:cxn modelId="{85ECB014-8263-CC47-AE02-B5E59B7ACA30}" type="presParOf" srcId="{C4BF5B22-2EA7-F645-AB0B-F2F152D205B1}" destId="{80F0A11A-E23B-054B-988C-046EFE84E297}" srcOrd="0" destOrd="0" presId="urn:microsoft.com/office/officeart/2005/8/layout/chevron2"/>
    <dgm:cxn modelId="{C246295D-537E-A445-B6E4-BD6724841628}" type="presParOf" srcId="{C4BF5B22-2EA7-F645-AB0B-F2F152D205B1}" destId="{D4E27C60-5E39-7949-8249-462FD9262DDD}" srcOrd="1" destOrd="0" presId="urn:microsoft.com/office/officeart/2005/8/layout/chevron2"/>
    <dgm:cxn modelId="{BEF28B0F-E7BB-A84F-A17A-DEBE2FEA1C91}" type="presParOf" srcId="{44D02060-CFD7-B948-B6D8-E6AB0E166AE0}" destId="{13F9B998-A5B2-7F46-8E36-A38A210FF73E}" srcOrd="11" destOrd="0" presId="urn:microsoft.com/office/officeart/2005/8/layout/chevron2"/>
    <dgm:cxn modelId="{1B827162-D483-6E4E-9D0C-999FFEA26188}" type="presParOf" srcId="{44D02060-CFD7-B948-B6D8-E6AB0E166AE0}" destId="{FF2535DA-B760-B44D-BF42-7F781A248652}" srcOrd="12" destOrd="0" presId="urn:microsoft.com/office/officeart/2005/8/layout/chevron2"/>
    <dgm:cxn modelId="{5AB822E4-FF1C-C34C-88A2-7F9BD99A4899}" type="presParOf" srcId="{FF2535DA-B760-B44D-BF42-7F781A248652}" destId="{4E35397A-EC4F-D049-A8EB-D8AA2209DF73}" srcOrd="0" destOrd="0" presId="urn:microsoft.com/office/officeart/2005/8/layout/chevron2"/>
    <dgm:cxn modelId="{611DAC4B-0E9A-8E49-819B-D5219E95AAC8}" type="presParOf" srcId="{FF2535DA-B760-B44D-BF42-7F781A248652}" destId="{908E36E6-53A4-9443-A4BF-A3881C0FD3BB}" srcOrd="1" destOrd="0" presId="urn:microsoft.com/office/officeart/2005/8/layout/chevron2"/>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C72907-5DB5-E64C-BB12-2763598644DA}">
      <dsp:nvSpPr>
        <dsp:cNvPr id="0" name=""/>
        <dsp:cNvSpPr/>
      </dsp:nvSpPr>
      <dsp:spPr>
        <a:xfrm rot="5400000">
          <a:off x="-145431" y="152850"/>
          <a:ext cx="969546" cy="678682"/>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MX" sz="700" kern="1200">
              <a:solidFill>
                <a:sysClr val="window" lastClr="FFFFFF"/>
              </a:solidFill>
              <a:latin typeface="Calibri"/>
              <a:ea typeface="+mn-ea"/>
              <a:cs typeface="+mn-cs"/>
            </a:rPr>
            <a:t>PASO 1: Últimas condiciones meteorológicas</a:t>
          </a:r>
        </a:p>
      </dsp:txBody>
      <dsp:txXfrm rot="-5400000">
        <a:off x="1" y="346759"/>
        <a:ext cx="678682" cy="290864"/>
      </dsp:txXfrm>
    </dsp:sp>
    <dsp:sp modelId="{92DAEA5D-030A-334A-8F16-66C0A675E681}">
      <dsp:nvSpPr>
        <dsp:cNvPr id="0" name=""/>
        <dsp:cNvSpPr/>
      </dsp:nvSpPr>
      <dsp:spPr>
        <a:xfrm rot="5400000">
          <a:off x="1993525" y="-1307424"/>
          <a:ext cx="630536" cy="3260222"/>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s-MX" sz="700" kern="1200">
              <a:solidFill>
                <a:sysClr val="windowText" lastClr="000000">
                  <a:hueOff val="0"/>
                  <a:satOff val="0"/>
                  <a:lumOff val="0"/>
                  <a:alphaOff val="0"/>
                </a:sysClr>
              </a:solidFill>
              <a:latin typeface="Calibri"/>
              <a:ea typeface="+mn-ea"/>
              <a:cs typeface="+mn-cs"/>
            </a:rPr>
            <a:t>Examinar las condiciones meteorológicas y las estadísticas de los últimos días, sobre todo las de las últimas 24 horas.</a:t>
          </a:r>
        </a:p>
      </dsp:txBody>
      <dsp:txXfrm rot="-5400000">
        <a:off x="678682" y="38199"/>
        <a:ext cx="3229442" cy="568976"/>
      </dsp:txXfrm>
    </dsp:sp>
    <dsp:sp modelId="{F7A9CEA6-0176-274D-9C83-3749A2770697}">
      <dsp:nvSpPr>
        <dsp:cNvPr id="0" name=""/>
        <dsp:cNvSpPr/>
      </dsp:nvSpPr>
      <dsp:spPr>
        <a:xfrm rot="5400000">
          <a:off x="-145431" y="1012517"/>
          <a:ext cx="969546" cy="678682"/>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MX" sz="700" kern="1200">
              <a:solidFill>
                <a:sysClr val="window" lastClr="FFFFFF"/>
              </a:solidFill>
              <a:latin typeface="Calibri"/>
              <a:ea typeface="+mn-ea"/>
              <a:cs typeface="+mn-cs"/>
            </a:rPr>
            <a:t>PASO 2: Análisis</a:t>
          </a:r>
        </a:p>
      </dsp:txBody>
      <dsp:txXfrm rot="-5400000">
        <a:off x="1" y="1206426"/>
        <a:ext cx="678682" cy="290864"/>
      </dsp:txXfrm>
    </dsp:sp>
    <dsp:sp modelId="{559955DC-9CB2-0B44-ACB9-CE3A6D527E60}">
      <dsp:nvSpPr>
        <dsp:cNvPr id="0" name=""/>
        <dsp:cNvSpPr/>
      </dsp:nvSpPr>
      <dsp:spPr>
        <a:xfrm rot="5400000">
          <a:off x="1993691" y="-447923"/>
          <a:ext cx="630204" cy="3260222"/>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s-MX" sz="700" kern="1200">
              <a:solidFill>
                <a:sysClr val="windowText" lastClr="000000">
                  <a:hueOff val="0"/>
                  <a:satOff val="0"/>
                  <a:lumOff val="0"/>
                  <a:alphaOff val="0"/>
                </a:sysClr>
              </a:solidFill>
              <a:latin typeface="Calibri"/>
              <a:ea typeface="+mn-ea"/>
              <a:cs typeface="+mn-cs"/>
            </a:rPr>
            <a:t>Examinar las observaciones en superficie y en altitud, los mapas de análisis (basados en observaciones y en modelos), y las imágenes de satélite, de radar y de detección de rayos, entre otros (lo que haya disponible).</a:t>
          </a:r>
        </a:p>
      </dsp:txBody>
      <dsp:txXfrm rot="-5400000">
        <a:off x="678682" y="897850"/>
        <a:ext cx="3229458" cy="568676"/>
      </dsp:txXfrm>
    </dsp:sp>
    <dsp:sp modelId="{FEFF1C66-A3B8-9D4B-849F-CDC75C0AF1E7}">
      <dsp:nvSpPr>
        <dsp:cNvPr id="0" name=""/>
        <dsp:cNvSpPr/>
      </dsp:nvSpPr>
      <dsp:spPr>
        <a:xfrm rot="5400000">
          <a:off x="-145431" y="1872183"/>
          <a:ext cx="969546" cy="678682"/>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MX" sz="700" kern="1200">
              <a:solidFill>
                <a:sysClr val="window" lastClr="FFFFFF"/>
              </a:solidFill>
              <a:latin typeface="Calibri"/>
              <a:ea typeface="+mn-ea"/>
              <a:cs typeface="+mn-cs"/>
            </a:rPr>
            <a:t>PASO 3: Predicción actual</a:t>
          </a:r>
        </a:p>
      </dsp:txBody>
      <dsp:txXfrm rot="-5400000">
        <a:off x="1" y="2066092"/>
        <a:ext cx="678682" cy="290864"/>
      </dsp:txXfrm>
    </dsp:sp>
    <dsp:sp modelId="{ED7F0A95-A0E7-BD40-9CCF-6DCB1E3A3CE6}">
      <dsp:nvSpPr>
        <dsp:cNvPr id="0" name=""/>
        <dsp:cNvSpPr/>
      </dsp:nvSpPr>
      <dsp:spPr>
        <a:xfrm rot="5400000">
          <a:off x="1993691" y="411743"/>
          <a:ext cx="630204" cy="3260222"/>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s-MX" sz="700" kern="1200">
              <a:solidFill>
                <a:sysClr val="windowText" lastClr="000000">
                  <a:hueOff val="0"/>
                  <a:satOff val="0"/>
                  <a:lumOff val="0"/>
                  <a:alphaOff val="0"/>
                </a:sysClr>
              </a:solidFill>
              <a:latin typeface="Calibri"/>
              <a:ea typeface="+mn-ea"/>
              <a:cs typeface="+mn-cs"/>
            </a:rPr>
            <a:t>Examinar las orientaciones, los textos y los productos existentes (</a:t>
          </a:r>
          <a:r>
            <a:rPr lang="es-MX" sz="700" i="1" kern="1200">
              <a:solidFill>
                <a:sysClr val="windowText" lastClr="000000">
                  <a:hueOff val="0"/>
                  <a:satOff val="0"/>
                  <a:lumOff val="0"/>
                  <a:alphaOff val="0"/>
                </a:sysClr>
              </a:solidFill>
              <a:latin typeface="Calibri"/>
              <a:ea typeface="+mn-ea"/>
              <a:cs typeface="+mn-cs"/>
            </a:rPr>
            <a:t>Nota: esto incluye la predicción nacional actual, y las orientaciones y los productos de predicción facilitados por los CMRE que se ocupan de la predicción inmediata, de la predicción de fenómenos meteorológicos adversos a escala regional y de la predicción de ciclones tropicales</a:t>
          </a:r>
          <a:r>
            <a:rPr lang="es-MX" sz="700" kern="1200">
              <a:solidFill>
                <a:sysClr val="windowText" lastClr="000000">
                  <a:hueOff val="0"/>
                  <a:satOff val="0"/>
                  <a:lumOff val="0"/>
                  <a:alphaOff val="0"/>
                </a:sysClr>
              </a:solidFill>
              <a:latin typeface="Calibri"/>
              <a:ea typeface="+mn-ea"/>
              <a:cs typeface="+mn-cs"/>
            </a:rPr>
            <a:t>). </a:t>
          </a:r>
        </a:p>
      </dsp:txBody>
      <dsp:txXfrm rot="-5400000">
        <a:off x="678682" y="1757516"/>
        <a:ext cx="3229458" cy="568676"/>
      </dsp:txXfrm>
    </dsp:sp>
    <dsp:sp modelId="{FB7CD394-5680-2D41-A67E-B4602268E13D}">
      <dsp:nvSpPr>
        <dsp:cNvPr id="0" name=""/>
        <dsp:cNvSpPr/>
      </dsp:nvSpPr>
      <dsp:spPr>
        <a:xfrm rot="5400000">
          <a:off x="-145431" y="2731850"/>
          <a:ext cx="969546" cy="678682"/>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MX" sz="700" kern="1200">
              <a:solidFill>
                <a:sysClr val="window" lastClr="FFFFFF"/>
              </a:solidFill>
              <a:latin typeface="Calibri"/>
              <a:ea typeface="+mn-ea"/>
              <a:cs typeface="+mn-cs"/>
            </a:rPr>
            <a:t>PASO 4: Predicción numérica del tiempo determinística</a:t>
          </a:r>
        </a:p>
      </dsp:txBody>
      <dsp:txXfrm rot="-5400000">
        <a:off x="1" y="2925759"/>
        <a:ext cx="678682" cy="290864"/>
      </dsp:txXfrm>
    </dsp:sp>
    <dsp:sp modelId="{22F7B247-EE4E-0045-818F-5783A25680C6}">
      <dsp:nvSpPr>
        <dsp:cNvPr id="0" name=""/>
        <dsp:cNvSpPr/>
      </dsp:nvSpPr>
      <dsp:spPr>
        <a:xfrm rot="5400000">
          <a:off x="1993691" y="1271409"/>
          <a:ext cx="630204" cy="3260222"/>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s-MX" sz="700" kern="1200">
              <a:solidFill>
                <a:sysClr val="windowText" lastClr="000000">
                  <a:hueOff val="0"/>
                  <a:satOff val="0"/>
                  <a:lumOff val="0"/>
                  <a:alphaOff val="0"/>
                </a:sysClr>
              </a:solidFill>
              <a:latin typeface="Calibri"/>
              <a:ea typeface="+mn-ea"/>
              <a:cs typeface="+mn-cs"/>
            </a:rPr>
            <a:t>Examinar la evolución sinóptica que aparece en la predicción numérica del tiempo a escala mundial y de área limitada </a:t>
          </a:r>
          <a:r>
            <a:rPr lang="es-MX" sz="700" i="1" kern="1200">
              <a:solidFill>
                <a:sysClr val="windowText" lastClr="000000">
                  <a:hueOff val="0"/>
                  <a:satOff val="0"/>
                  <a:lumOff val="0"/>
                  <a:alphaOff val="0"/>
                </a:sysClr>
              </a:solidFill>
              <a:latin typeface="Calibri"/>
              <a:ea typeface="+mn-ea"/>
              <a:cs typeface="+mn-cs"/>
            </a:rPr>
            <a:t>(Nota: esto incluye los productos de los CMM y los CMRE que se ocupan de la predicción numérica del tiempo determinística a escala mundial; al consultar al Centro Principal que se encarga de la verificación de la predicción numérica del tiempo determinística, los pronosticadores se hacen una idea del desempeño de los modelos según la época del año).</a:t>
          </a:r>
          <a:r>
            <a:rPr lang="es-MX" sz="700" kern="1200">
              <a:solidFill>
                <a:sysClr val="windowText" lastClr="000000">
                  <a:hueOff val="0"/>
                  <a:satOff val="0"/>
                  <a:lumOff val="0"/>
                  <a:alphaOff val="0"/>
                </a:sysClr>
              </a:solidFill>
              <a:latin typeface="Calibri"/>
              <a:ea typeface="+mn-ea"/>
              <a:cs typeface="+mn-cs"/>
            </a:rPr>
            <a:t>  </a:t>
          </a:r>
        </a:p>
      </dsp:txBody>
      <dsp:txXfrm rot="-5400000">
        <a:off x="678682" y="2617182"/>
        <a:ext cx="3229458" cy="568676"/>
      </dsp:txXfrm>
    </dsp:sp>
    <dsp:sp modelId="{D973094A-3B31-494E-AC74-364F4004D044}">
      <dsp:nvSpPr>
        <dsp:cNvPr id="0" name=""/>
        <dsp:cNvSpPr/>
      </dsp:nvSpPr>
      <dsp:spPr>
        <a:xfrm rot="5400000">
          <a:off x="-145431" y="3591516"/>
          <a:ext cx="969546" cy="678682"/>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MX" sz="700" kern="1200">
              <a:solidFill>
                <a:sysClr val="window" lastClr="FFFFFF"/>
              </a:solidFill>
              <a:latin typeface="Calibri"/>
              <a:ea typeface="+mn-ea"/>
              <a:cs typeface="+mn-cs"/>
            </a:rPr>
            <a:t>PASO 5: Predicción numérica del tiempo por conjuntos</a:t>
          </a:r>
        </a:p>
      </dsp:txBody>
      <dsp:txXfrm rot="-5400000">
        <a:off x="1" y="3785425"/>
        <a:ext cx="678682" cy="290864"/>
      </dsp:txXfrm>
    </dsp:sp>
    <dsp:sp modelId="{9A8019F7-AD91-3949-BF1E-B0F09D5C1A5C}">
      <dsp:nvSpPr>
        <dsp:cNvPr id="0" name=""/>
        <dsp:cNvSpPr/>
      </dsp:nvSpPr>
      <dsp:spPr>
        <a:xfrm rot="5400000">
          <a:off x="1993691" y="2131076"/>
          <a:ext cx="630204" cy="3260222"/>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s-MX" sz="700" kern="1200">
              <a:solidFill>
                <a:sysClr val="windowText" lastClr="000000">
                  <a:hueOff val="0"/>
                  <a:satOff val="0"/>
                  <a:lumOff val="0"/>
                  <a:alphaOff val="0"/>
                </a:sysClr>
              </a:solidFill>
              <a:latin typeface="Calibri"/>
              <a:ea typeface="+mn-ea"/>
              <a:cs typeface="+mn-cs"/>
            </a:rPr>
            <a:t>Examinar los productos de la predicción numérica del tiempo por conjuntos a escala mundial y la predicción numérica del tiempo por conjuntos de área limitada para determinar la coincidencia entre las medias de los conjuntos y la predicción numérica del tiempo determinística. Prestar atención a los datos anómalos que pudiera haber en la distribución de los conjuntos. </a:t>
          </a:r>
          <a:r>
            <a:rPr lang="es-MX" sz="700" i="1" kern="1200">
              <a:solidFill>
                <a:sysClr val="windowText" lastClr="000000">
                  <a:hueOff val="0"/>
                  <a:satOff val="0"/>
                  <a:lumOff val="0"/>
                  <a:alphaOff val="0"/>
                </a:sysClr>
              </a:solidFill>
              <a:latin typeface="Calibri"/>
              <a:ea typeface="+mn-ea"/>
              <a:cs typeface="+mn-cs"/>
            </a:rPr>
            <a:t>(Nota: esto incluye los productos de los CMM y los CMRE que se ocupan de la predicción numérica del tiempo por conjuntos a escala mundial).</a:t>
          </a:r>
          <a:r>
            <a:rPr lang="es-MX" sz="700" kern="1200">
              <a:solidFill>
                <a:sysClr val="windowText" lastClr="000000">
                  <a:hueOff val="0"/>
                  <a:satOff val="0"/>
                  <a:lumOff val="0"/>
                  <a:alphaOff val="0"/>
                </a:sysClr>
              </a:solidFill>
              <a:latin typeface="Calibri"/>
              <a:ea typeface="+mn-ea"/>
              <a:cs typeface="+mn-cs"/>
            </a:rPr>
            <a:t> </a:t>
          </a:r>
        </a:p>
      </dsp:txBody>
      <dsp:txXfrm rot="-5400000">
        <a:off x="678682" y="3476849"/>
        <a:ext cx="3229458" cy="568676"/>
      </dsp:txXfrm>
    </dsp:sp>
    <dsp:sp modelId="{5B4CE5B7-46B2-F447-9264-7263015D2C3E}">
      <dsp:nvSpPr>
        <dsp:cNvPr id="0" name=""/>
        <dsp:cNvSpPr/>
      </dsp:nvSpPr>
      <dsp:spPr>
        <a:xfrm rot="5400000">
          <a:off x="-145431" y="4451183"/>
          <a:ext cx="969546" cy="678682"/>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MX" sz="700" kern="1200">
              <a:solidFill>
                <a:sysClr val="window" lastClr="FFFFFF"/>
              </a:solidFill>
              <a:latin typeface="Calibri"/>
              <a:ea typeface="+mn-ea"/>
              <a:cs typeface="+mn-cs"/>
            </a:rPr>
            <a:t>PASO 6: Debate</a:t>
          </a:r>
        </a:p>
      </dsp:txBody>
      <dsp:txXfrm rot="-5400000">
        <a:off x="1" y="4645092"/>
        <a:ext cx="678682" cy="290864"/>
      </dsp:txXfrm>
    </dsp:sp>
    <dsp:sp modelId="{7415E7E3-99EF-0142-9D08-04FFB9B3081B}">
      <dsp:nvSpPr>
        <dsp:cNvPr id="0" name=""/>
        <dsp:cNvSpPr/>
      </dsp:nvSpPr>
      <dsp:spPr>
        <a:xfrm rot="5400000">
          <a:off x="1993691" y="2990742"/>
          <a:ext cx="630204" cy="3260222"/>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s-MX" sz="700" kern="1200">
              <a:solidFill>
                <a:sysClr val="windowText" lastClr="000000">
                  <a:hueOff val="0"/>
                  <a:satOff val="0"/>
                  <a:lumOff val="0"/>
                  <a:alphaOff val="0"/>
                </a:sysClr>
              </a:solidFill>
              <a:latin typeface="Calibri"/>
              <a:ea typeface="+mn-ea"/>
              <a:cs typeface="+mn-cs"/>
            </a:rPr>
            <a:t>Hablar sobre la evolución probable de la predicción con los colegas que estén de servicio, y acordar una predicción consensuada. </a:t>
          </a:r>
          <a:r>
            <a:rPr lang="es-MX" sz="700" i="0" kern="1200">
              <a:solidFill>
                <a:sysClr val="windowText" lastClr="000000">
                  <a:hueOff val="0"/>
                  <a:satOff val="0"/>
                  <a:lumOff val="0"/>
                  <a:alphaOff val="0"/>
                </a:sysClr>
              </a:solidFill>
              <a:latin typeface="Calibri"/>
              <a:ea typeface="+mn-ea"/>
              <a:cs typeface="+mn-cs"/>
            </a:rPr>
            <a:t>Esto es muy importante para que las predicciones públicas, aeronáuticas y marinas sean coherentes.</a:t>
          </a:r>
        </a:p>
      </dsp:txBody>
      <dsp:txXfrm rot="-5400000">
        <a:off x="678682" y="4336515"/>
        <a:ext cx="3229458" cy="568676"/>
      </dsp:txXfrm>
    </dsp:sp>
    <dsp:sp modelId="{CF118F01-D097-A042-B0A2-E4C7E173701C}">
      <dsp:nvSpPr>
        <dsp:cNvPr id="0" name=""/>
        <dsp:cNvSpPr/>
      </dsp:nvSpPr>
      <dsp:spPr>
        <a:xfrm rot="5400000">
          <a:off x="-145431" y="5310849"/>
          <a:ext cx="969546" cy="678682"/>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MX" sz="700" kern="1200">
              <a:solidFill>
                <a:sysClr val="window" lastClr="FFFFFF"/>
              </a:solidFill>
              <a:latin typeface="Calibri"/>
              <a:ea typeface="+mn-ea"/>
              <a:cs typeface="+mn-cs"/>
            </a:rPr>
            <a:t>PASO 7: Orientaciones internas</a:t>
          </a:r>
        </a:p>
      </dsp:txBody>
      <dsp:txXfrm rot="-5400000">
        <a:off x="1" y="5504758"/>
        <a:ext cx="678682" cy="290864"/>
      </dsp:txXfrm>
    </dsp:sp>
    <dsp:sp modelId="{36E74988-709D-044A-A791-FD51CE316462}">
      <dsp:nvSpPr>
        <dsp:cNvPr id="0" name=""/>
        <dsp:cNvSpPr/>
      </dsp:nvSpPr>
      <dsp:spPr>
        <a:xfrm rot="5400000">
          <a:off x="1993691" y="3850409"/>
          <a:ext cx="630204" cy="3260222"/>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s-MX" sz="700" kern="1200">
              <a:solidFill>
                <a:sysClr val="windowText" lastClr="000000">
                  <a:hueOff val="0"/>
                  <a:satOff val="0"/>
                  <a:lumOff val="0"/>
                  <a:alphaOff val="0"/>
                </a:sysClr>
              </a:solidFill>
              <a:latin typeface="Calibri"/>
              <a:ea typeface="+mn-ea"/>
              <a:cs typeface="+mn-cs"/>
            </a:rPr>
            <a:t>Preparar un texto breve en que se resuma la predicción consensuada (puede expresarse de forma técnica, ya que es solo para uso interno). Hacer comentarios sobre la temperatura, el viento, el tiempo y otros. </a:t>
          </a:r>
        </a:p>
      </dsp:txBody>
      <dsp:txXfrm rot="-5400000">
        <a:off x="678682" y="5196182"/>
        <a:ext cx="3229458" cy="568676"/>
      </dsp:txXfrm>
    </dsp:sp>
    <dsp:sp modelId="{80F0A11A-E23B-054B-988C-046EFE84E297}">
      <dsp:nvSpPr>
        <dsp:cNvPr id="0" name=""/>
        <dsp:cNvSpPr/>
      </dsp:nvSpPr>
      <dsp:spPr>
        <a:xfrm rot="5400000">
          <a:off x="-145431" y="6170516"/>
          <a:ext cx="969546" cy="678682"/>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MX" sz="700" kern="1200">
              <a:solidFill>
                <a:sysClr val="window" lastClr="FFFFFF"/>
              </a:solidFill>
              <a:latin typeface="Calibri"/>
              <a:ea typeface="+mn-ea"/>
              <a:cs typeface="+mn-cs"/>
            </a:rPr>
            <a:t>PASO 8: Predicción</a:t>
          </a:r>
        </a:p>
      </dsp:txBody>
      <dsp:txXfrm rot="-5400000">
        <a:off x="1" y="6364425"/>
        <a:ext cx="678682" cy="290864"/>
      </dsp:txXfrm>
    </dsp:sp>
    <dsp:sp modelId="{D4E27C60-5E39-7949-8249-462FD9262DDD}">
      <dsp:nvSpPr>
        <dsp:cNvPr id="0" name=""/>
        <dsp:cNvSpPr/>
      </dsp:nvSpPr>
      <dsp:spPr>
        <a:xfrm rot="5400000">
          <a:off x="1993691" y="4710075"/>
          <a:ext cx="630204" cy="3260222"/>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s-MX" sz="700" kern="1200">
              <a:solidFill>
                <a:sysClr val="windowText" lastClr="000000">
                  <a:hueOff val="0"/>
                  <a:satOff val="0"/>
                  <a:lumOff val="0"/>
                  <a:alphaOff val="0"/>
                </a:sysClr>
              </a:solidFill>
              <a:latin typeface="Calibri"/>
              <a:ea typeface="+mn-ea"/>
              <a:cs typeface="+mn-cs"/>
            </a:rPr>
            <a:t>Preparar el texto de la predicción y otros productos sobre la base del documento de orientaciones descrito anteriormente.</a:t>
          </a:r>
        </a:p>
      </dsp:txBody>
      <dsp:txXfrm rot="-5400000">
        <a:off x="678682" y="6055848"/>
        <a:ext cx="3229458" cy="568676"/>
      </dsp:txXfrm>
    </dsp:sp>
    <dsp:sp modelId="{4E35397A-EC4F-D049-A8EB-D8AA2209DF73}">
      <dsp:nvSpPr>
        <dsp:cNvPr id="0" name=""/>
        <dsp:cNvSpPr/>
      </dsp:nvSpPr>
      <dsp:spPr>
        <a:xfrm rot="5400000">
          <a:off x="-145431" y="7030182"/>
          <a:ext cx="969546" cy="678682"/>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MX" sz="700" kern="1200">
              <a:solidFill>
                <a:sysClr val="window" lastClr="FFFFFF"/>
              </a:solidFill>
              <a:latin typeface="Calibri"/>
              <a:ea typeface="+mn-ea"/>
              <a:cs typeface="+mn-cs"/>
            </a:rPr>
            <a:t>PASO 9: Examen y actualización</a:t>
          </a:r>
        </a:p>
      </dsp:txBody>
      <dsp:txXfrm rot="-5400000">
        <a:off x="1" y="7224091"/>
        <a:ext cx="678682" cy="290864"/>
      </dsp:txXfrm>
    </dsp:sp>
    <dsp:sp modelId="{908E36E6-53A4-9443-A4BF-A3881C0FD3BB}">
      <dsp:nvSpPr>
        <dsp:cNvPr id="0" name=""/>
        <dsp:cNvSpPr/>
      </dsp:nvSpPr>
      <dsp:spPr>
        <a:xfrm rot="5400000">
          <a:off x="1993691" y="5569742"/>
          <a:ext cx="630204" cy="3260222"/>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s-MX" sz="700" kern="1200">
              <a:solidFill>
                <a:sysClr val="windowText" lastClr="000000">
                  <a:hueOff val="0"/>
                  <a:satOff val="0"/>
                  <a:lumOff val="0"/>
                  <a:alphaOff val="0"/>
                </a:sysClr>
              </a:solidFill>
              <a:latin typeface="Calibri"/>
              <a:ea typeface="+mn-ea"/>
              <a:cs typeface="+mn-cs"/>
            </a:rPr>
            <a:t>Examinar de forma continua los productos de predicción y cotejarlos con las observaciones y los datos de los radares y los satélites, entre otros. Modificar y volver a emitir, si es necesario.</a:t>
          </a:r>
        </a:p>
      </dsp:txBody>
      <dsp:txXfrm rot="-5400000">
        <a:off x="678682" y="6915515"/>
        <a:ext cx="3229458" cy="56867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C72907-5DB5-E64C-BB12-2763598644DA}">
      <dsp:nvSpPr>
        <dsp:cNvPr id="0" name=""/>
        <dsp:cNvSpPr/>
      </dsp:nvSpPr>
      <dsp:spPr>
        <a:xfrm rot="5400000">
          <a:off x="-178461" y="186010"/>
          <a:ext cx="1189740" cy="832818"/>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solidFill>
                <a:sysClr val="window" lastClr="FFFFFF"/>
              </a:solidFill>
              <a:latin typeface="Calibri"/>
              <a:ea typeface="+mn-ea"/>
              <a:cs typeface="+mn-cs"/>
            </a:rPr>
            <a:t>PASO 1: Orientaciones</a:t>
          </a:r>
        </a:p>
      </dsp:txBody>
      <dsp:txXfrm rot="-5400000">
        <a:off x="0" y="423958"/>
        <a:ext cx="832818" cy="356922"/>
      </dsp:txXfrm>
    </dsp:sp>
    <dsp:sp modelId="{92DAEA5D-030A-334A-8F16-66C0A675E681}">
      <dsp:nvSpPr>
        <dsp:cNvPr id="0" name=""/>
        <dsp:cNvSpPr/>
      </dsp:nvSpPr>
      <dsp:spPr>
        <a:xfrm rot="5400000">
          <a:off x="1999196" y="-1158828"/>
          <a:ext cx="773331" cy="3106086"/>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3810" rIns="3810" bIns="3810" numCol="1" spcCol="1270" anchor="ctr" anchorCtr="0">
          <a:noAutofit/>
        </a:bodyPr>
        <a:lstStyle/>
        <a:p>
          <a:pPr marL="57150" lvl="1" indent="-57150" algn="l" defTabSz="266700">
            <a:lnSpc>
              <a:spcPct val="90000"/>
            </a:lnSpc>
            <a:spcBef>
              <a:spcPct val="0"/>
            </a:spcBef>
            <a:spcAft>
              <a:spcPct val="15000"/>
            </a:spcAft>
            <a:buChar char="•"/>
          </a:pPr>
          <a:r>
            <a:rPr lang="es-MX" sz="600" kern="1200">
              <a:solidFill>
                <a:sysClr val="windowText" lastClr="000000">
                  <a:hueOff val="0"/>
                  <a:satOff val="0"/>
                  <a:lumOff val="0"/>
                  <a:alphaOff val="0"/>
                </a:sysClr>
              </a:solidFill>
              <a:latin typeface="Calibri"/>
              <a:ea typeface="+mn-ea"/>
              <a:cs typeface="+mn-cs"/>
            </a:rPr>
            <a:t>Examinar las orientaciones ya preparadas relativas al período de predicción D+0 a D+3.</a:t>
          </a:r>
        </a:p>
      </dsp:txBody>
      <dsp:txXfrm rot="-5400000">
        <a:off x="832819" y="45300"/>
        <a:ext cx="3068335" cy="697829"/>
      </dsp:txXfrm>
    </dsp:sp>
    <dsp:sp modelId="{FB7CD394-5680-2D41-A67E-B4602268E13D}">
      <dsp:nvSpPr>
        <dsp:cNvPr id="0" name=""/>
        <dsp:cNvSpPr/>
      </dsp:nvSpPr>
      <dsp:spPr>
        <a:xfrm rot="5400000">
          <a:off x="-178461" y="1240916"/>
          <a:ext cx="1189740" cy="832818"/>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solidFill>
                <a:sysClr val="window" lastClr="FFFFFF"/>
              </a:solidFill>
              <a:latin typeface="Calibri"/>
              <a:ea typeface="+mn-ea"/>
              <a:cs typeface="+mn-cs"/>
            </a:rPr>
            <a:t>PASO 2: Predicción numérica del tiempo determinística</a:t>
          </a:r>
        </a:p>
      </dsp:txBody>
      <dsp:txXfrm rot="-5400000">
        <a:off x="0" y="1478864"/>
        <a:ext cx="832818" cy="356922"/>
      </dsp:txXfrm>
    </dsp:sp>
    <dsp:sp modelId="{22F7B247-EE4E-0045-818F-5783A25680C6}">
      <dsp:nvSpPr>
        <dsp:cNvPr id="0" name=""/>
        <dsp:cNvSpPr/>
      </dsp:nvSpPr>
      <dsp:spPr>
        <a:xfrm rot="5400000">
          <a:off x="1999196" y="-103922"/>
          <a:ext cx="773331" cy="3106086"/>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3810" rIns="3810" bIns="3810" numCol="1" spcCol="1270" anchor="ctr" anchorCtr="0">
          <a:noAutofit/>
        </a:bodyPr>
        <a:lstStyle/>
        <a:p>
          <a:pPr marL="57150" lvl="1" indent="-57150" algn="l" defTabSz="266700">
            <a:lnSpc>
              <a:spcPct val="90000"/>
            </a:lnSpc>
            <a:spcBef>
              <a:spcPct val="0"/>
            </a:spcBef>
            <a:spcAft>
              <a:spcPct val="15000"/>
            </a:spcAft>
            <a:buChar char="•"/>
          </a:pPr>
          <a:r>
            <a:rPr lang="es-MX" sz="600" kern="1200">
              <a:solidFill>
                <a:sysClr val="windowText" lastClr="000000">
                  <a:hueOff val="0"/>
                  <a:satOff val="0"/>
                  <a:lumOff val="0"/>
                  <a:alphaOff val="0"/>
                </a:sysClr>
              </a:solidFill>
              <a:latin typeface="Calibri"/>
              <a:ea typeface="+mn-ea"/>
              <a:cs typeface="+mn-cs"/>
            </a:rPr>
            <a:t>Examinar la evolución sinóptica que aparece en la predicción numérica del tiempo a escala mundial </a:t>
          </a:r>
          <a:r>
            <a:rPr lang="es-MX" sz="600" i="1" kern="1200">
              <a:solidFill>
                <a:sysClr val="windowText" lastClr="000000">
                  <a:hueOff val="0"/>
                  <a:satOff val="0"/>
                  <a:lumOff val="0"/>
                  <a:alphaOff val="0"/>
                </a:sysClr>
              </a:solidFill>
              <a:latin typeface="Calibri"/>
              <a:ea typeface="+mn-ea"/>
              <a:cs typeface="+mn-cs"/>
            </a:rPr>
            <a:t>(Nota: esto incluye los productos de los CMM y los CMRE que se ocupan de la predicción numérica del tiempo determinística a escala mundial; al consultar al Centro Principal que se encarga de la verificación de la predicción numérica del tiempo determinística, los pronosticadores se hacen una idea del desempeño de los modelos según la época del año).</a:t>
          </a:r>
          <a:r>
            <a:rPr lang="es-MX" sz="600" kern="1200">
              <a:solidFill>
                <a:sysClr val="windowText" lastClr="000000">
                  <a:hueOff val="0"/>
                  <a:satOff val="0"/>
                  <a:lumOff val="0"/>
                  <a:alphaOff val="0"/>
                </a:sysClr>
              </a:solidFill>
              <a:latin typeface="Calibri"/>
              <a:ea typeface="+mn-ea"/>
              <a:cs typeface="+mn-cs"/>
            </a:rPr>
            <a:t>  </a:t>
          </a:r>
        </a:p>
      </dsp:txBody>
      <dsp:txXfrm rot="-5400000">
        <a:off x="832819" y="1100206"/>
        <a:ext cx="3068335" cy="697829"/>
      </dsp:txXfrm>
    </dsp:sp>
    <dsp:sp modelId="{D973094A-3B31-494E-AC74-364F4004D044}">
      <dsp:nvSpPr>
        <dsp:cNvPr id="0" name=""/>
        <dsp:cNvSpPr/>
      </dsp:nvSpPr>
      <dsp:spPr>
        <a:xfrm rot="5400000">
          <a:off x="-178461" y="2295822"/>
          <a:ext cx="1189740" cy="832818"/>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solidFill>
                <a:sysClr val="window" lastClr="FFFFFF"/>
              </a:solidFill>
              <a:latin typeface="Calibri"/>
              <a:ea typeface="+mn-ea"/>
              <a:cs typeface="+mn-cs"/>
            </a:rPr>
            <a:t>PASO 3: Predicción numérica del tiempo por conjuntos</a:t>
          </a:r>
        </a:p>
      </dsp:txBody>
      <dsp:txXfrm rot="-5400000">
        <a:off x="0" y="2533770"/>
        <a:ext cx="832818" cy="356922"/>
      </dsp:txXfrm>
    </dsp:sp>
    <dsp:sp modelId="{9A8019F7-AD91-3949-BF1E-B0F09D5C1A5C}">
      <dsp:nvSpPr>
        <dsp:cNvPr id="0" name=""/>
        <dsp:cNvSpPr/>
      </dsp:nvSpPr>
      <dsp:spPr>
        <a:xfrm rot="5400000">
          <a:off x="1999196" y="950983"/>
          <a:ext cx="773331" cy="3106086"/>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3810" rIns="3810" bIns="3810" numCol="1" spcCol="1270" anchor="ctr" anchorCtr="0">
          <a:noAutofit/>
        </a:bodyPr>
        <a:lstStyle/>
        <a:p>
          <a:pPr marL="57150" lvl="1" indent="-57150" algn="l" defTabSz="266700">
            <a:lnSpc>
              <a:spcPct val="90000"/>
            </a:lnSpc>
            <a:spcBef>
              <a:spcPct val="0"/>
            </a:spcBef>
            <a:spcAft>
              <a:spcPct val="15000"/>
            </a:spcAft>
            <a:buChar char="•"/>
          </a:pPr>
          <a:r>
            <a:rPr lang="es-MX" sz="600" kern="1200">
              <a:solidFill>
                <a:sysClr val="windowText" lastClr="000000">
                  <a:hueOff val="0"/>
                  <a:satOff val="0"/>
                  <a:lumOff val="0"/>
                  <a:alphaOff val="0"/>
                </a:sysClr>
              </a:solidFill>
              <a:latin typeface="Calibri"/>
              <a:ea typeface="+mn-ea"/>
              <a:cs typeface="+mn-cs"/>
            </a:rPr>
            <a:t>Examinar los productos de la predicción numérica del tiempo por conjuntos a escala mundial para determinar la coincidencia entre las medias de los conjuntos y la predicción numérica del tiempo determinística. Observar si la predicción determinística se desvía de la media de los conjuntos.  </a:t>
          </a:r>
          <a:r>
            <a:rPr lang="es-MX" sz="600" i="1" kern="1200">
              <a:solidFill>
                <a:sysClr val="windowText" lastClr="000000">
                  <a:hueOff val="0"/>
                  <a:satOff val="0"/>
                  <a:lumOff val="0"/>
                  <a:alphaOff val="0"/>
                </a:sysClr>
              </a:solidFill>
              <a:latin typeface="Calibri"/>
              <a:ea typeface="+mn-ea"/>
              <a:cs typeface="+mn-cs"/>
            </a:rPr>
            <a:t>(Nota: esto incluye los productos de los CMM y los CMRE que se ocupan de la predicción numérica del tiempo por conjuntos a escala mundial y de la predicción de fenómenos meteorológicos adversos a escala regional).</a:t>
          </a:r>
          <a:r>
            <a:rPr lang="es-MX" sz="600" kern="1200">
              <a:solidFill>
                <a:sysClr val="windowText" lastClr="000000">
                  <a:hueOff val="0"/>
                  <a:satOff val="0"/>
                  <a:lumOff val="0"/>
                  <a:alphaOff val="0"/>
                </a:sysClr>
              </a:solidFill>
              <a:latin typeface="Calibri"/>
              <a:ea typeface="+mn-ea"/>
              <a:cs typeface="+mn-cs"/>
            </a:rPr>
            <a:t> </a:t>
          </a:r>
        </a:p>
        <a:p>
          <a:pPr marL="57150" lvl="1" indent="-57150" algn="l" defTabSz="266700">
            <a:lnSpc>
              <a:spcPct val="90000"/>
            </a:lnSpc>
            <a:spcBef>
              <a:spcPct val="0"/>
            </a:spcBef>
            <a:spcAft>
              <a:spcPct val="15000"/>
            </a:spcAft>
            <a:buChar char="•"/>
          </a:pPr>
          <a:r>
            <a:rPr lang="es-MX" sz="600" kern="1200">
              <a:solidFill>
                <a:sysClr val="windowText" lastClr="000000">
                  <a:hueOff val="0"/>
                  <a:satOff val="0"/>
                  <a:lumOff val="0"/>
                  <a:alphaOff val="0"/>
                </a:sysClr>
              </a:solidFill>
              <a:latin typeface="Calibri"/>
              <a:ea typeface="+mn-ea"/>
              <a:cs typeface="+mn-cs"/>
            </a:rPr>
            <a:t>Examinar los meteogramas prestando especial atención tanto a la media de las predicciones como a los datos anómalos.  </a:t>
          </a:r>
          <a:r>
            <a:rPr lang="es-MX" sz="600" i="1" kern="1200">
              <a:solidFill>
                <a:sysClr val="windowText" lastClr="000000">
                  <a:hueOff val="0"/>
                  <a:satOff val="0"/>
                  <a:lumOff val="0"/>
                  <a:alphaOff val="0"/>
                </a:sysClr>
              </a:solidFill>
              <a:latin typeface="Calibri"/>
              <a:ea typeface="+mn-ea"/>
              <a:cs typeface="+mn-cs"/>
            </a:rPr>
            <a:t>(Nota: esto incluye los productos de los CMRE que se ocupan de la predicción de fenómenos meteorológicos adversos a escala regional).</a:t>
          </a:r>
        </a:p>
      </dsp:txBody>
      <dsp:txXfrm rot="-5400000">
        <a:off x="832819" y="2155112"/>
        <a:ext cx="3068335" cy="697829"/>
      </dsp:txXfrm>
    </dsp:sp>
    <dsp:sp modelId="{B89582F3-826D-814C-9606-CA7CF767E8F3}">
      <dsp:nvSpPr>
        <dsp:cNvPr id="0" name=""/>
        <dsp:cNvSpPr/>
      </dsp:nvSpPr>
      <dsp:spPr>
        <a:xfrm rot="5400000">
          <a:off x="-178461" y="3350728"/>
          <a:ext cx="1189740" cy="832818"/>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solidFill>
                <a:sysClr val="window" lastClr="FFFFFF"/>
              </a:solidFill>
              <a:latin typeface="Calibri"/>
              <a:ea typeface="+mn-ea"/>
              <a:cs typeface="+mn-cs"/>
            </a:rPr>
            <a:t>PASO 4: ¿Condiciones adversas?</a:t>
          </a:r>
        </a:p>
      </dsp:txBody>
      <dsp:txXfrm rot="-5400000">
        <a:off x="0" y="3588676"/>
        <a:ext cx="832818" cy="356922"/>
      </dsp:txXfrm>
    </dsp:sp>
    <dsp:sp modelId="{18AE87CF-0C28-7347-BF73-E89AEE27248E}">
      <dsp:nvSpPr>
        <dsp:cNvPr id="0" name=""/>
        <dsp:cNvSpPr/>
      </dsp:nvSpPr>
      <dsp:spPr>
        <a:xfrm rot="5400000">
          <a:off x="1999196" y="2005889"/>
          <a:ext cx="773331" cy="3106086"/>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3810" rIns="3810" bIns="3810" numCol="1" spcCol="1270" anchor="ctr" anchorCtr="0">
          <a:noAutofit/>
        </a:bodyPr>
        <a:lstStyle/>
        <a:p>
          <a:pPr marL="57150" lvl="1" indent="-57150" algn="l" defTabSz="266700">
            <a:lnSpc>
              <a:spcPct val="90000"/>
            </a:lnSpc>
            <a:spcBef>
              <a:spcPct val="0"/>
            </a:spcBef>
            <a:spcAft>
              <a:spcPct val="15000"/>
            </a:spcAft>
            <a:buChar char="•"/>
          </a:pPr>
          <a:r>
            <a:rPr lang="es-MX" sz="600" kern="1200">
              <a:solidFill>
                <a:sysClr val="windowText" lastClr="000000">
                  <a:hueOff val="0"/>
                  <a:satOff val="0"/>
                  <a:lumOff val="0"/>
                  <a:alphaOff val="0"/>
                </a:sysClr>
              </a:solidFill>
              <a:latin typeface="Calibri"/>
              <a:ea typeface="+mn-ea"/>
              <a:cs typeface="+mn-cs"/>
            </a:rPr>
            <a:t>Observar las señales intensas y constantes de posibles condiciones meteorológicas anómalas y adversas en ese período.</a:t>
          </a:r>
        </a:p>
        <a:p>
          <a:pPr marL="57150" lvl="1" indent="-57150" algn="l" defTabSz="266700">
            <a:lnSpc>
              <a:spcPct val="90000"/>
            </a:lnSpc>
            <a:spcBef>
              <a:spcPct val="0"/>
            </a:spcBef>
            <a:spcAft>
              <a:spcPct val="15000"/>
            </a:spcAft>
            <a:buChar char="•"/>
          </a:pPr>
          <a:r>
            <a:rPr lang="es-MX" sz="600" kern="1200">
              <a:solidFill>
                <a:sysClr val="windowText" lastClr="000000">
                  <a:hueOff val="0"/>
                  <a:satOff val="0"/>
                  <a:lumOff val="0"/>
                  <a:alphaOff val="0"/>
                </a:sysClr>
              </a:solidFill>
              <a:latin typeface="Calibri"/>
              <a:ea typeface="+mn-ea"/>
              <a:cs typeface="+mn-cs"/>
            </a:rPr>
            <a:t>Examinar el índice de predicción de fenómenos extremos y otros índices para analizar la posible aparición de fenómenos meteorológicos adversos durante el período de predicción</a:t>
          </a:r>
          <a:r>
            <a:rPr lang="es-MX" sz="900" kern="1200">
              <a:solidFill>
                <a:sysClr val="windowText" lastClr="000000">
                  <a:hueOff val="0"/>
                  <a:satOff val="0"/>
                  <a:lumOff val="0"/>
                  <a:alphaOff val="0"/>
                </a:sysClr>
              </a:solidFill>
              <a:latin typeface="Calibri"/>
              <a:ea typeface="+mn-ea"/>
              <a:cs typeface="+mn-cs"/>
            </a:rPr>
            <a:t>.</a:t>
          </a:r>
        </a:p>
      </dsp:txBody>
      <dsp:txXfrm rot="-5400000">
        <a:off x="832819" y="3210018"/>
        <a:ext cx="3068335" cy="697829"/>
      </dsp:txXfrm>
    </dsp:sp>
    <dsp:sp modelId="{CF118F01-D097-A042-B0A2-E4C7E173701C}">
      <dsp:nvSpPr>
        <dsp:cNvPr id="0" name=""/>
        <dsp:cNvSpPr/>
      </dsp:nvSpPr>
      <dsp:spPr>
        <a:xfrm rot="5400000">
          <a:off x="-178461" y="4405634"/>
          <a:ext cx="1189740" cy="832818"/>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solidFill>
                <a:sysClr val="window" lastClr="FFFFFF"/>
              </a:solidFill>
              <a:latin typeface="Calibri"/>
              <a:ea typeface="+mn-ea"/>
              <a:cs typeface="+mn-cs"/>
            </a:rPr>
            <a:t>PASO 5: Orientaciones internas</a:t>
          </a:r>
        </a:p>
      </dsp:txBody>
      <dsp:txXfrm rot="-5400000">
        <a:off x="0" y="4643582"/>
        <a:ext cx="832818" cy="356922"/>
      </dsp:txXfrm>
    </dsp:sp>
    <dsp:sp modelId="{36E74988-709D-044A-A791-FD51CE316462}">
      <dsp:nvSpPr>
        <dsp:cNvPr id="0" name=""/>
        <dsp:cNvSpPr/>
      </dsp:nvSpPr>
      <dsp:spPr>
        <a:xfrm rot="5400000">
          <a:off x="1999196" y="3060795"/>
          <a:ext cx="773331" cy="3106086"/>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3810" rIns="3810" bIns="3810" numCol="1" spcCol="1270" anchor="ctr" anchorCtr="0">
          <a:noAutofit/>
        </a:bodyPr>
        <a:lstStyle/>
        <a:p>
          <a:pPr marL="57150" lvl="1" indent="-57150" algn="l" defTabSz="266700">
            <a:lnSpc>
              <a:spcPct val="90000"/>
            </a:lnSpc>
            <a:spcBef>
              <a:spcPct val="0"/>
            </a:spcBef>
            <a:spcAft>
              <a:spcPct val="15000"/>
            </a:spcAft>
            <a:buChar char="•"/>
          </a:pPr>
          <a:r>
            <a:rPr lang="es-MX" sz="600" kern="1200">
              <a:solidFill>
                <a:sysClr val="windowText" lastClr="000000">
                  <a:hueOff val="0"/>
                  <a:satOff val="0"/>
                  <a:lumOff val="0"/>
                  <a:alphaOff val="0"/>
                </a:sysClr>
              </a:solidFill>
              <a:latin typeface="Calibri"/>
              <a:ea typeface="+mn-ea"/>
              <a:cs typeface="+mn-cs"/>
            </a:rPr>
            <a:t>Preparar un texto breve en que se resuma la predicción consensuada (puede expresarse de forma técnica, ya que es solo para uso interno). Hacer comentarios sobre la temperatura, el viento, el tiempo y otros. </a:t>
          </a:r>
        </a:p>
      </dsp:txBody>
      <dsp:txXfrm rot="-5400000">
        <a:off x="832819" y="4264924"/>
        <a:ext cx="3068335" cy="697829"/>
      </dsp:txXfrm>
    </dsp:sp>
    <dsp:sp modelId="{80F0A11A-E23B-054B-988C-046EFE84E297}">
      <dsp:nvSpPr>
        <dsp:cNvPr id="0" name=""/>
        <dsp:cNvSpPr/>
      </dsp:nvSpPr>
      <dsp:spPr>
        <a:xfrm rot="5400000">
          <a:off x="-178461" y="5460540"/>
          <a:ext cx="1189740" cy="832818"/>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solidFill>
                <a:sysClr val="window" lastClr="FFFFFF"/>
              </a:solidFill>
              <a:latin typeface="Calibri"/>
              <a:ea typeface="+mn-ea"/>
              <a:cs typeface="+mn-cs"/>
            </a:rPr>
            <a:t>PASO 6: Predicción</a:t>
          </a:r>
        </a:p>
      </dsp:txBody>
      <dsp:txXfrm rot="-5400000">
        <a:off x="0" y="5698488"/>
        <a:ext cx="832818" cy="356922"/>
      </dsp:txXfrm>
    </dsp:sp>
    <dsp:sp modelId="{D4E27C60-5E39-7949-8249-462FD9262DDD}">
      <dsp:nvSpPr>
        <dsp:cNvPr id="0" name=""/>
        <dsp:cNvSpPr/>
      </dsp:nvSpPr>
      <dsp:spPr>
        <a:xfrm rot="5400000">
          <a:off x="1999196" y="4115701"/>
          <a:ext cx="773331" cy="3106086"/>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3810" rIns="3810" bIns="3810" numCol="1" spcCol="1270" anchor="ctr" anchorCtr="0">
          <a:noAutofit/>
        </a:bodyPr>
        <a:lstStyle/>
        <a:p>
          <a:pPr marL="57150" lvl="1" indent="-57150" algn="l" defTabSz="266700">
            <a:lnSpc>
              <a:spcPct val="90000"/>
            </a:lnSpc>
            <a:spcBef>
              <a:spcPct val="0"/>
            </a:spcBef>
            <a:spcAft>
              <a:spcPct val="15000"/>
            </a:spcAft>
            <a:buChar char="•"/>
          </a:pPr>
          <a:r>
            <a:rPr lang="es-MX" sz="600" kern="1200">
              <a:solidFill>
                <a:sysClr val="windowText" lastClr="000000">
                  <a:hueOff val="0"/>
                  <a:satOff val="0"/>
                  <a:lumOff val="0"/>
                  <a:alphaOff val="0"/>
                </a:sysClr>
              </a:solidFill>
              <a:latin typeface="Calibri"/>
              <a:ea typeface="+mn-ea"/>
              <a:cs typeface="+mn-cs"/>
            </a:rPr>
            <a:t>Preparar el texto de la predicción, las predicciones relativas a lugares concretos y otros productos sobre la base del documento de orientaciones descrito anteriormente. Al utilizar meteogramas, tener cuidado con los lugares costeros (campo tierra/mar) y la altitud del modelo.</a:t>
          </a:r>
        </a:p>
      </dsp:txBody>
      <dsp:txXfrm rot="-5400000">
        <a:off x="832819" y="5319830"/>
        <a:ext cx="3068335" cy="697829"/>
      </dsp:txXfrm>
    </dsp:sp>
    <dsp:sp modelId="{4E35397A-EC4F-D049-A8EB-D8AA2209DF73}">
      <dsp:nvSpPr>
        <dsp:cNvPr id="0" name=""/>
        <dsp:cNvSpPr/>
      </dsp:nvSpPr>
      <dsp:spPr>
        <a:xfrm rot="5400000">
          <a:off x="-178461" y="6515445"/>
          <a:ext cx="1189740" cy="832818"/>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solidFill>
                <a:sysClr val="window" lastClr="FFFFFF"/>
              </a:solidFill>
              <a:latin typeface="Calibri"/>
              <a:ea typeface="+mn-ea"/>
              <a:cs typeface="+mn-cs"/>
            </a:rPr>
            <a:t>PASO 7: Actualización</a:t>
          </a:r>
        </a:p>
      </dsp:txBody>
      <dsp:txXfrm rot="-5400000">
        <a:off x="0" y="6753393"/>
        <a:ext cx="832818" cy="356922"/>
      </dsp:txXfrm>
    </dsp:sp>
    <dsp:sp modelId="{908E36E6-53A4-9443-A4BF-A3881C0FD3BB}">
      <dsp:nvSpPr>
        <dsp:cNvPr id="0" name=""/>
        <dsp:cNvSpPr/>
      </dsp:nvSpPr>
      <dsp:spPr>
        <a:xfrm rot="5400000">
          <a:off x="1999196" y="5170607"/>
          <a:ext cx="773331" cy="3106086"/>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3810" rIns="3810" bIns="3810" numCol="1" spcCol="1270" anchor="ctr" anchorCtr="0">
          <a:noAutofit/>
        </a:bodyPr>
        <a:lstStyle/>
        <a:p>
          <a:pPr marL="57150" lvl="1" indent="-57150" algn="l" defTabSz="266700">
            <a:lnSpc>
              <a:spcPct val="90000"/>
            </a:lnSpc>
            <a:spcBef>
              <a:spcPct val="0"/>
            </a:spcBef>
            <a:spcAft>
              <a:spcPct val="15000"/>
            </a:spcAft>
            <a:buChar char="•"/>
          </a:pPr>
          <a:r>
            <a:rPr lang="es-MX" sz="600" kern="1200">
              <a:solidFill>
                <a:sysClr val="windowText" lastClr="000000">
                  <a:hueOff val="0"/>
                  <a:satOff val="0"/>
                  <a:lumOff val="0"/>
                  <a:alphaOff val="0"/>
                </a:sysClr>
              </a:solidFill>
              <a:latin typeface="Calibri"/>
              <a:ea typeface="+mn-ea"/>
              <a:cs typeface="+mn-cs"/>
            </a:rPr>
            <a:t>Actualizar la predicción a diario.</a:t>
          </a:r>
        </a:p>
      </dsp:txBody>
      <dsp:txXfrm rot="-5400000">
        <a:off x="832819" y="6374736"/>
        <a:ext cx="3068335" cy="697829"/>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w10="urn:schemas-microsoft-com:office:word" xmlns:v="urn:schemas-microsoft-com:vm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2.xml><?xml version="1.0" encoding="utf-8"?>
<p:properties xmlns:p="http://schemas.microsoft.com/office/2006/metadata/properties" xmlns:pc="http://schemas.microsoft.com/office/infopath/2007/PartnerControl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F59FCA29978B940B5A3D89EF27385AE" ma:contentTypeVersion="" ma:contentTypeDescription="Create a new document." ma:contentTypeScope="" ma:versionID="bf9365c25a92441b1ee6c305e75e8ee5">
  <xsd:schema xmlns:xsd="http://www.w3.org/2001/XMLSchema" xmlns:xs="http://www.w3.org/2001/XMLSchema" xmlns:p="http://schemas.microsoft.com/office/2006/metadata/properties" xmlns:ns2="1c5fc8e0-0999-4fb6-bf1f-7ab008e6dd1d" targetNamespace="http://schemas.microsoft.com/office/2006/metadata/properties" ma:root="true" ma:fieldsID="4b90bfc561bd565481a8f67666d1c250" ns2:_="">
    <xsd:import namespace="1c5fc8e0-0999-4fb6-bf1f-7ab008e6dd1d"/>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5fc8e0-0999-4fb6-bf1f-7ab008e6dd1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940D4A2-AE50-422E-A113-33053D90B5C0}">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office:word"/>
    <ds:schemaRef ds:uri="urn:schemas-microsoft-com:vml"/>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2.xml><?xml version="1.0" encoding="utf-8"?>
<ds:datastoreItem xmlns:ds="http://schemas.openxmlformats.org/officeDocument/2006/customXml" ds:itemID="{4CE4C997-AFE9-4FD5-8B67-4DD00902483D}">
  <ds:schemaRefs>
    <ds:schemaRef ds:uri="http://schemas.microsoft.com/office/infopath/2007/PartnerControls"/>
    <ds:schemaRef ds:uri="http://schemas.microsoft.com/office/2006/documentManagement/types"/>
    <ds:schemaRef ds:uri="http://schemas.openxmlformats.org/package/2006/metadata/core-properties"/>
    <ds:schemaRef ds:uri="ce21bc6c-711a-4065-a01c-a8f0e29e3ad8"/>
    <ds:schemaRef ds:uri="http://purl.org/dc/dcmitype/"/>
    <ds:schemaRef ds:uri="http://purl.org/dc/elements/1.1/"/>
    <ds:schemaRef ds:uri="http://schemas.microsoft.com/office/2006/metadata/properties"/>
    <ds:schemaRef ds:uri="3679bf0f-1d7e-438f-afa5-6ebf1e20f9b8"/>
    <ds:schemaRef ds:uri="http://www.w3.org/XML/1998/namespace"/>
    <ds:schemaRef ds:uri="http://purl.org/dc/terms/"/>
  </ds:schemaRefs>
</ds:datastoreItem>
</file>

<file path=customXml/itemProps3.xml><?xml version="1.0" encoding="utf-8"?>
<ds:datastoreItem xmlns:ds="http://schemas.openxmlformats.org/officeDocument/2006/customXml" ds:itemID="{98F693AD-26A7-41A2-8591-56808AA10DA7}"/>
</file>

<file path=customXml/itemProps4.xml><?xml version="1.0" encoding="utf-8"?>
<ds:datastoreItem xmlns:ds="http://schemas.openxmlformats.org/officeDocument/2006/customXml" ds:itemID="{4D20D50D-8F4D-4581-A6DB-25A81D5B93C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6438</TotalTime>
  <Pages>76</Pages>
  <Words>37722</Words>
  <Characters>207473</Characters>
  <Application>Microsoft Office Word</Application>
  <DocSecurity>0</DocSecurity>
  <Lines>1728</Lines>
  <Paragraphs>489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WMO Document Template</vt:lpstr>
      <vt:lpstr>WMO Document Template</vt:lpstr>
    </vt:vector>
  </TitlesOfParts>
  <Company>WMO</Company>
  <LinksUpToDate>false</LinksUpToDate>
  <CharactersWithSpaces>244706</CharactersWithSpaces>
  <SharedDoc>false</SharedDoc>
  <HLinks>
    <vt:vector size="18" baseType="variant">
      <vt:variant>
        <vt:i4>2228298</vt:i4>
      </vt:variant>
      <vt:variant>
        <vt:i4>152</vt:i4>
      </vt:variant>
      <vt:variant>
        <vt:i4>0</vt:i4>
      </vt:variant>
      <vt:variant>
        <vt:i4>5</vt:i4>
      </vt:variant>
      <vt:variant>
        <vt:lpwstr>ftp://ftp.wmo.int/Documents/PublicWeb/mainweb/meetings/cbodies/governance/congress_reports/english/pdf/1026_E.pdf</vt:lpwstr>
      </vt:variant>
      <vt:variant>
        <vt:lpwstr/>
      </vt:variant>
      <vt:variant>
        <vt:i4>4784202</vt:i4>
      </vt:variant>
      <vt:variant>
        <vt:i4>51</vt:i4>
      </vt:variant>
      <vt:variant>
        <vt:i4>0</vt:i4>
      </vt:variant>
      <vt:variant>
        <vt:i4>5</vt:i4>
      </vt:variant>
      <vt:variant>
        <vt:lpwstr/>
      </vt:variant>
      <vt:variant>
        <vt:lpwstr>_Draft_Recommendation_X.X/1</vt:lpwstr>
      </vt:variant>
      <vt:variant>
        <vt:i4>983122</vt:i4>
      </vt:variant>
      <vt:variant>
        <vt:i4>48</vt:i4>
      </vt:variant>
      <vt:variant>
        <vt:i4>0</vt:i4>
      </vt:variant>
      <vt:variant>
        <vt:i4>5</vt:i4>
      </vt:variant>
      <vt:variant>
        <vt:lpwstr/>
      </vt:variant>
      <vt:variant>
        <vt:lpwstr>_DRAFT_RESOLUTION_4.2/1_(EC-64)%20-%20PU</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creator>Francoise Fol</dc:creator>
  <cp:lastModifiedBy>Fabian Rubiolo</cp:lastModifiedBy>
  <cp:revision>409</cp:revision>
  <cp:lastPrinted>2013-03-12T09:27:00Z</cp:lastPrinted>
  <dcterms:created xsi:type="dcterms:W3CDTF">2022-12-01T09:09:00Z</dcterms:created>
  <dcterms:modified xsi:type="dcterms:W3CDTF">2023-02-02T07:10:00Z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0x0101003F59FCA29978B940B5A3D89EF27385AE</vt:lpwstr>
  </property>
  <property fmtid="{D5CDD505-2E9C-101B-9397-08002B2CF9AE}" pid="3" name="MediaServiceImageTags">
    <vt:lpwstr/>
  </property>
  <property fmtid="{D5CDD505-2E9C-101B-9397-08002B2CF9AE}" pid="4" name="TranslatedWith">
    <vt:lpwstr>Mercury</vt:lpwstr>
  </property>
  <property fmtid="{D5CDD505-2E9C-101B-9397-08002B2CF9AE}" pid="5" name="GeneratedBy">
    <vt:lpwstr>Claudia.Franco</vt:lpwstr>
  </property>
  <property fmtid="{D5CDD505-2E9C-101B-9397-08002B2CF9AE}" pid="6" name="GeneratedDate">
    <vt:lpwstr>01/19/2023 10:53:35</vt:lpwstr>
  </property>
  <property fmtid="{D5CDD505-2E9C-101B-9397-08002B2CF9AE}" pid="7" name="OriginalDocID">
    <vt:lpwstr>34368e12-25ba-44c4-9c2d-e66b05155f7d</vt:lpwstr>
  </property>
</Properties>
</file>